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E10" w:rsidRDefault="00DA1E10" w:rsidP="00DA1E10">
      <w:pPr>
        <w:spacing w:after="0" w:line="360" w:lineRule="auto"/>
        <w:ind w:left="708" w:firstLine="708"/>
        <w:contextualSpacing/>
        <w:jc w:val="center"/>
        <w:rPr>
          <w:rFonts w:ascii="Times New Roman" w:hAnsi="Times New Roman" w:cs="Times New Roman"/>
          <w:b/>
        </w:rPr>
      </w:pPr>
      <w:r>
        <w:rPr>
          <w:noProof/>
        </w:rPr>
        <w:drawing>
          <wp:anchor distT="0" distB="0" distL="114300" distR="114300" simplePos="0" relativeHeight="251659264" behindDoc="1" locked="0" layoutInCell="1" allowOverlap="1">
            <wp:simplePos x="0" y="0"/>
            <wp:positionH relativeFrom="column">
              <wp:posOffset>-80645</wp:posOffset>
            </wp:positionH>
            <wp:positionV relativeFrom="paragraph">
              <wp:posOffset>-156845</wp:posOffset>
            </wp:positionV>
            <wp:extent cx="968375" cy="1082675"/>
            <wp:effectExtent l="19050" t="0" r="3175"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5" cstate="print"/>
                    <a:srcRect/>
                    <a:stretch>
                      <a:fillRect/>
                    </a:stretch>
                  </pic:blipFill>
                  <pic:spPr bwMode="auto">
                    <a:xfrm>
                      <a:off x="0" y="0"/>
                      <a:ext cx="968375" cy="1082675"/>
                    </a:xfrm>
                    <a:prstGeom prst="rect">
                      <a:avLst/>
                    </a:prstGeom>
                    <a:noFill/>
                  </pic:spPr>
                </pic:pic>
              </a:graphicData>
            </a:graphic>
          </wp:anchor>
        </w:drawing>
      </w:r>
      <w:r>
        <w:rPr>
          <w:rFonts w:ascii="Times New Roman" w:hAnsi="Times New Roman" w:cs="Times New Roman"/>
          <w:b/>
        </w:rPr>
        <w:t xml:space="preserve">ИНФОРМАЦИЯ </w:t>
      </w:r>
    </w:p>
    <w:p w:rsidR="00DA1E10" w:rsidRDefault="00DA1E10" w:rsidP="00DA1E10">
      <w:pPr>
        <w:spacing w:after="0" w:line="360" w:lineRule="auto"/>
        <w:ind w:left="708" w:firstLine="708"/>
        <w:contextualSpacing/>
        <w:jc w:val="center"/>
        <w:rPr>
          <w:rFonts w:ascii="Times New Roman" w:hAnsi="Times New Roman" w:cs="Times New Roman"/>
          <w:b/>
        </w:rPr>
      </w:pPr>
      <w:r>
        <w:rPr>
          <w:rFonts w:ascii="Times New Roman" w:hAnsi="Times New Roman" w:cs="Times New Roman"/>
          <w:b/>
        </w:rPr>
        <w:t>ГУ – УПРАВЛЕНИЯ ПЕНСИОННОГО ФОНДА РФ</w:t>
      </w:r>
    </w:p>
    <w:p w:rsidR="00DA1E10" w:rsidRDefault="00DA1E10" w:rsidP="00DA1E10">
      <w:pPr>
        <w:spacing w:after="0" w:line="360" w:lineRule="auto"/>
        <w:contextualSpacing/>
        <w:jc w:val="center"/>
        <w:rPr>
          <w:rFonts w:ascii="Times New Roman" w:hAnsi="Times New Roman" w:cs="Times New Roman"/>
          <w:b/>
        </w:rPr>
      </w:pPr>
      <w:r>
        <w:rPr>
          <w:rFonts w:ascii="Times New Roman" w:hAnsi="Times New Roman" w:cs="Times New Roman"/>
          <w:b/>
        </w:rPr>
        <w:t xml:space="preserve">                     В БЕРЕЗОВСКОМ РАЙОНЕ ХМАО-ЮГРЫ</w:t>
      </w:r>
    </w:p>
    <w:p w:rsidR="00DA1E10" w:rsidRDefault="00DA1E10" w:rsidP="00DA1E10">
      <w:pPr>
        <w:spacing w:after="0" w:line="360" w:lineRule="auto"/>
        <w:contextualSpacing/>
        <w:jc w:val="center"/>
        <w:rPr>
          <w:rFonts w:ascii="Times New Roman" w:hAnsi="Times New Roman" w:cs="Times New Roman"/>
          <w:b/>
        </w:rPr>
      </w:pPr>
    </w:p>
    <w:p w:rsidR="00DA1E10" w:rsidRDefault="000A0A14" w:rsidP="00DA1E10">
      <w:pPr>
        <w:spacing w:after="0" w:line="360" w:lineRule="auto"/>
        <w:contextualSpacing/>
        <w:jc w:val="both"/>
        <w:rPr>
          <w:rFonts w:ascii="Times New Roman" w:hAnsi="Times New Roman" w:cs="Times New Roman"/>
          <w:b/>
        </w:rPr>
      </w:pPr>
      <w:r>
        <w:rPr>
          <w:rFonts w:ascii="Times New Roman" w:hAnsi="Times New Roman" w:cs="Times New Roman"/>
          <w:b/>
        </w:rPr>
        <w:t>28</w:t>
      </w:r>
      <w:r w:rsidR="00DA1E10">
        <w:rPr>
          <w:rFonts w:ascii="Times New Roman" w:hAnsi="Times New Roman" w:cs="Times New Roman"/>
          <w:b/>
        </w:rPr>
        <w:t xml:space="preserve"> </w:t>
      </w:r>
      <w:r w:rsidR="002505CF">
        <w:rPr>
          <w:rFonts w:ascii="Times New Roman" w:hAnsi="Times New Roman" w:cs="Times New Roman"/>
          <w:b/>
        </w:rPr>
        <w:t>июля</w:t>
      </w:r>
      <w:r w:rsidR="00DA1E10">
        <w:rPr>
          <w:rFonts w:ascii="Times New Roman" w:hAnsi="Times New Roman" w:cs="Times New Roman"/>
          <w:b/>
        </w:rPr>
        <w:t xml:space="preserve"> 201</w:t>
      </w:r>
      <w:r w:rsidR="000F057F">
        <w:rPr>
          <w:rFonts w:ascii="Times New Roman" w:hAnsi="Times New Roman" w:cs="Times New Roman"/>
          <w:b/>
        </w:rPr>
        <w:t>6</w:t>
      </w:r>
      <w:r w:rsidR="00DA1E10">
        <w:rPr>
          <w:rFonts w:ascii="Times New Roman" w:hAnsi="Times New Roman" w:cs="Times New Roman"/>
          <w:b/>
        </w:rPr>
        <w:t xml:space="preserve"> года</w:t>
      </w:r>
    </w:p>
    <w:p w:rsidR="000A0A14" w:rsidRDefault="000A0A14" w:rsidP="000A0A14">
      <w:pPr>
        <w:pStyle w:val="1"/>
        <w:spacing w:before="0" w:beforeAutospacing="0" w:after="192" w:afterAutospacing="0" w:line="288" w:lineRule="atLeast"/>
        <w:jc w:val="center"/>
        <w:textAlignment w:val="baseline"/>
        <w:rPr>
          <w:rFonts w:ascii="Arial" w:hAnsi="Arial" w:cs="Arial"/>
          <w:color w:val="000000"/>
          <w:sz w:val="28"/>
          <w:szCs w:val="28"/>
        </w:rPr>
      </w:pPr>
      <w:r>
        <w:rPr>
          <w:rFonts w:ascii="Arial" w:hAnsi="Arial" w:cs="Arial"/>
          <w:color w:val="000000"/>
          <w:sz w:val="28"/>
          <w:szCs w:val="28"/>
        </w:rPr>
        <w:t xml:space="preserve">Продолжается отчетная кампания </w:t>
      </w:r>
      <w:proofErr w:type="gramStart"/>
      <w:r>
        <w:rPr>
          <w:rFonts w:ascii="Arial" w:hAnsi="Arial" w:cs="Arial"/>
          <w:color w:val="000000"/>
          <w:sz w:val="28"/>
          <w:szCs w:val="28"/>
        </w:rPr>
        <w:t>для</w:t>
      </w:r>
      <w:proofErr w:type="gramEnd"/>
      <w:r>
        <w:rPr>
          <w:rFonts w:ascii="Arial" w:hAnsi="Arial" w:cs="Arial"/>
          <w:color w:val="000000"/>
          <w:sz w:val="28"/>
          <w:szCs w:val="28"/>
        </w:rPr>
        <w:t xml:space="preserve"> </w:t>
      </w:r>
    </w:p>
    <w:p w:rsidR="000A0A14" w:rsidRDefault="000A0A14" w:rsidP="000A0A14">
      <w:pPr>
        <w:pStyle w:val="1"/>
        <w:spacing w:before="0" w:beforeAutospacing="0" w:after="192" w:afterAutospacing="0" w:line="288" w:lineRule="atLeast"/>
        <w:jc w:val="center"/>
        <w:textAlignment w:val="baseline"/>
        <w:rPr>
          <w:rFonts w:ascii="Arial" w:hAnsi="Arial" w:cs="Arial"/>
          <w:color w:val="000000"/>
          <w:sz w:val="28"/>
          <w:szCs w:val="28"/>
        </w:rPr>
      </w:pPr>
      <w:r>
        <w:rPr>
          <w:rFonts w:ascii="Arial" w:hAnsi="Arial" w:cs="Arial"/>
          <w:color w:val="000000"/>
          <w:sz w:val="28"/>
          <w:szCs w:val="28"/>
        </w:rPr>
        <w:t>плательщиков страховых взносов</w:t>
      </w:r>
    </w:p>
    <w:p w:rsidR="000A0A14" w:rsidRPr="000A0A14" w:rsidRDefault="000A0A14" w:rsidP="000A0A14">
      <w:pPr>
        <w:pStyle w:val="a3"/>
        <w:spacing w:before="0" w:beforeAutospacing="0" w:after="0" w:afterAutospacing="0" w:line="240" w:lineRule="atLeast"/>
        <w:ind w:firstLine="708"/>
        <w:jc w:val="both"/>
        <w:textAlignment w:val="baseline"/>
        <w:rPr>
          <w:color w:val="000000"/>
        </w:rPr>
      </w:pPr>
      <w:r>
        <w:rPr>
          <w:color w:val="000000"/>
        </w:rPr>
        <w:t>Управление</w:t>
      </w:r>
      <w:r>
        <w:rPr>
          <w:color w:val="000000"/>
        </w:rPr>
        <w:tab/>
      </w:r>
      <w:r w:rsidRPr="000A0A14">
        <w:rPr>
          <w:color w:val="000000"/>
        </w:rPr>
        <w:t>ПФР</w:t>
      </w:r>
      <w:r>
        <w:rPr>
          <w:color w:val="000000"/>
        </w:rPr>
        <w:t xml:space="preserve"> в Березовском районе</w:t>
      </w:r>
      <w:r w:rsidRPr="000A0A14">
        <w:rPr>
          <w:color w:val="000000"/>
        </w:rPr>
        <w:t xml:space="preserve"> продолжа</w:t>
      </w:r>
      <w:r>
        <w:rPr>
          <w:color w:val="000000"/>
        </w:rPr>
        <w:t>е</w:t>
      </w:r>
      <w:r w:rsidRPr="000A0A14">
        <w:rPr>
          <w:color w:val="000000"/>
        </w:rPr>
        <w:t>т прием от работодателей Единой формы отчетности в ПФР</w:t>
      </w:r>
      <w:r w:rsidRPr="000A0A14">
        <w:rPr>
          <w:rStyle w:val="apple-converted-space"/>
          <w:color w:val="000000"/>
        </w:rPr>
        <w:t> </w:t>
      </w:r>
      <w:r w:rsidRPr="000A0A14">
        <w:rPr>
          <w:rStyle w:val="a9"/>
          <w:color w:val="000000"/>
          <w:bdr w:val="none" w:sz="0" w:space="0" w:color="auto" w:frame="1"/>
        </w:rPr>
        <w:t>за первое полугодие 2016 года</w:t>
      </w:r>
      <w:r w:rsidRPr="000A0A14">
        <w:rPr>
          <w:color w:val="000000"/>
        </w:rPr>
        <w:t>. Отчетная кампания началась 1 июля 2016 года, при этом последняя дата сдачи отчетности в бумажном виде –</w:t>
      </w:r>
      <w:r w:rsidRPr="000A0A14">
        <w:rPr>
          <w:rStyle w:val="apple-converted-space"/>
          <w:color w:val="000000"/>
        </w:rPr>
        <w:t> </w:t>
      </w:r>
      <w:r w:rsidRPr="000A0A14">
        <w:rPr>
          <w:rStyle w:val="a9"/>
          <w:color w:val="000000"/>
          <w:bdr w:val="none" w:sz="0" w:space="0" w:color="auto" w:frame="1"/>
        </w:rPr>
        <w:t>15 августа</w:t>
      </w:r>
      <w:r w:rsidRPr="000A0A14">
        <w:rPr>
          <w:color w:val="000000"/>
        </w:rPr>
        <w:t>, а при подаче отчетности в электронном виде –</w:t>
      </w:r>
      <w:r w:rsidRPr="000A0A14">
        <w:rPr>
          <w:rStyle w:val="apple-converted-space"/>
          <w:color w:val="000000"/>
        </w:rPr>
        <w:t> </w:t>
      </w:r>
      <w:r w:rsidRPr="000A0A14">
        <w:rPr>
          <w:rStyle w:val="a9"/>
          <w:color w:val="000000"/>
          <w:bdr w:val="none" w:sz="0" w:space="0" w:color="auto" w:frame="1"/>
        </w:rPr>
        <w:t>22 августа</w:t>
      </w:r>
      <w:r w:rsidRPr="000A0A14">
        <w:rPr>
          <w:color w:val="000000"/>
        </w:rPr>
        <w:t>. В отношении плательщиков страховых взносов, нарушивших сроки представления отчетности, законодательство предусматривает применение штрафных санкций.</w:t>
      </w:r>
    </w:p>
    <w:p w:rsidR="000A0A14" w:rsidRPr="000A0A14" w:rsidRDefault="000A0A14" w:rsidP="000A0A14">
      <w:pPr>
        <w:pStyle w:val="a3"/>
        <w:spacing w:before="0" w:beforeAutospacing="0" w:after="240" w:afterAutospacing="0" w:line="240" w:lineRule="atLeast"/>
        <w:jc w:val="both"/>
        <w:textAlignment w:val="baseline"/>
        <w:rPr>
          <w:color w:val="000000"/>
        </w:rPr>
      </w:pPr>
      <w:r w:rsidRPr="000A0A14">
        <w:rPr>
          <w:color w:val="000000"/>
        </w:rPr>
        <w:t>Кроме того, в августе последний день периода сдачи Единой формы отчетности в бумажном виде совпадает с последним днем уплаты страховых взносов за июль. Чтобы своевременно уплатить страховые взносы и представить отчетность, Пенсионный фонд России призывает работодателей не делать этого в последний день.</w:t>
      </w:r>
    </w:p>
    <w:p w:rsidR="000A0A14" w:rsidRPr="000A0A14" w:rsidRDefault="000A0A14" w:rsidP="000A0A14">
      <w:pPr>
        <w:pStyle w:val="a3"/>
        <w:spacing w:before="0" w:beforeAutospacing="0" w:after="0" w:afterAutospacing="0" w:line="240" w:lineRule="atLeast"/>
        <w:ind w:firstLine="708"/>
        <w:jc w:val="both"/>
        <w:textAlignment w:val="baseline"/>
        <w:rPr>
          <w:color w:val="000000"/>
        </w:rPr>
      </w:pPr>
      <w:r w:rsidRPr="000A0A14">
        <w:rPr>
          <w:color w:val="000000"/>
        </w:rPr>
        <w:t>Напомним, Единую отчетность  необходимо представлять в территориальные органы ПФР ежеквартально</w:t>
      </w:r>
      <w:r w:rsidRPr="000A0A14">
        <w:rPr>
          <w:rStyle w:val="apple-converted-space"/>
          <w:color w:val="000000"/>
        </w:rPr>
        <w:t> </w:t>
      </w:r>
      <w:r w:rsidRPr="000A0A14">
        <w:rPr>
          <w:rStyle w:val="a9"/>
          <w:color w:val="000000"/>
          <w:bdr w:val="none" w:sz="0" w:space="0" w:color="auto" w:frame="1"/>
        </w:rPr>
        <w:t>не позднее 15-го числа</w:t>
      </w:r>
      <w:r w:rsidRPr="000A0A14">
        <w:rPr>
          <w:rStyle w:val="apple-converted-space"/>
          <w:color w:val="000000"/>
        </w:rPr>
        <w:t> </w:t>
      </w:r>
      <w:r w:rsidRPr="000A0A14">
        <w:rPr>
          <w:color w:val="000000"/>
        </w:rPr>
        <w:t>второго календарного месяца в бумажном виде, а в форме электронного документа –</w:t>
      </w:r>
      <w:r w:rsidRPr="000A0A14">
        <w:rPr>
          <w:rStyle w:val="apple-converted-space"/>
          <w:color w:val="000000"/>
        </w:rPr>
        <w:t> </w:t>
      </w:r>
      <w:r w:rsidRPr="000A0A14">
        <w:rPr>
          <w:rStyle w:val="a9"/>
          <w:color w:val="000000"/>
          <w:bdr w:val="none" w:sz="0" w:space="0" w:color="auto" w:frame="1"/>
        </w:rPr>
        <w:t>не позднее 20 числа</w:t>
      </w:r>
      <w:r w:rsidRPr="000A0A14">
        <w:rPr>
          <w:rStyle w:val="apple-converted-space"/>
          <w:color w:val="000000"/>
        </w:rPr>
        <w:t> </w:t>
      </w:r>
      <w:r w:rsidRPr="000A0A14">
        <w:rPr>
          <w:color w:val="000000"/>
        </w:rPr>
        <w:t>второго календарного месяца следующего за отчетным периодом (кварталом, полугодием, девятью месяцами и календарным годом). Если последний день срока приходится на выходной или нерабочий праздничный день, то днем окончания срока считается ближайший следующий за ним рабочий день. Если численность сотрудников превышает 25 человек, отчетность необходимо представлять в электронном виде с электронно-цифровой подписью.</w:t>
      </w:r>
    </w:p>
    <w:p w:rsidR="000A0A14" w:rsidRDefault="000A0A14" w:rsidP="000A0A14">
      <w:pPr>
        <w:pStyle w:val="a3"/>
        <w:spacing w:before="0" w:beforeAutospacing="0" w:after="0" w:afterAutospacing="0" w:line="240" w:lineRule="atLeast"/>
        <w:ind w:firstLine="708"/>
        <w:jc w:val="both"/>
        <w:textAlignment w:val="baseline"/>
        <w:rPr>
          <w:color w:val="000000"/>
        </w:rPr>
      </w:pPr>
      <w:r w:rsidRPr="000A0A14">
        <w:rPr>
          <w:color w:val="000000"/>
        </w:rPr>
        <w:t xml:space="preserve">Программы для подготовки и проверки Единой формы отчетности, которые в значительной степени облегчают процесс подготовки и сдачи отчетности для плательщиков страховых взносов, размещены в свободном доступе на сайте Пенсионного фонда </w:t>
      </w:r>
      <w:proofErr w:type="spellStart"/>
      <w:r w:rsidRPr="000A0A14">
        <w:rPr>
          <w:color w:val="000000"/>
        </w:rPr>
        <w:t>www.pfrf.ru</w:t>
      </w:r>
      <w:proofErr w:type="spellEnd"/>
      <w:r w:rsidRPr="000A0A14">
        <w:rPr>
          <w:color w:val="000000"/>
        </w:rPr>
        <w:t xml:space="preserve"> в разделе «</w:t>
      </w:r>
      <w:hyperlink r:id="rId6" w:history="1">
        <w:r w:rsidRPr="000A0A14">
          <w:rPr>
            <w:rStyle w:val="a8"/>
            <w:color w:val="0B7FA4"/>
            <w:bdr w:val="none" w:sz="0" w:space="0" w:color="auto" w:frame="1"/>
          </w:rPr>
          <w:t>Электронные сервисы</w:t>
        </w:r>
      </w:hyperlink>
      <w:r w:rsidRPr="000A0A14">
        <w:rPr>
          <w:color w:val="000000"/>
        </w:rPr>
        <w:t>». Кроме того, можно воспользоваться электронным сервисом ПФР «</w:t>
      </w:r>
      <w:hyperlink r:id="rId7" w:history="1">
        <w:r w:rsidRPr="000A0A14">
          <w:rPr>
            <w:rStyle w:val="a8"/>
            <w:color w:val="0B7FA4"/>
            <w:bdr w:val="none" w:sz="0" w:space="0" w:color="auto" w:frame="1"/>
          </w:rPr>
          <w:t>Кабинет страхователя</w:t>
        </w:r>
      </w:hyperlink>
      <w:r w:rsidRPr="000A0A14">
        <w:rPr>
          <w:color w:val="000000"/>
        </w:rPr>
        <w:t>». Здесь размещены все формы документов, форматы данных, правила проверки отчетности. В Кабинете можно посмотреть реестр платежей, получить справку о состоянии расчетов, оформить платежное поручение, рассчитать страховые взносы, выписать квитанции и многое другое в режиме реального времени.</w:t>
      </w:r>
    </w:p>
    <w:p w:rsidR="000A0A14" w:rsidRPr="000A0A14" w:rsidRDefault="000A0A14" w:rsidP="000A0A14">
      <w:pPr>
        <w:pStyle w:val="a3"/>
        <w:spacing w:before="0" w:beforeAutospacing="0" w:after="0" w:afterAutospacing="0" w:line="240" w:lineRule="atLeast"/>
        <w:ind w:firstLine="708"/>
        <w:jc w:val="both"/>
        <w:textAlignment w:val="baseline"/>
        <w:rPr>
          <w:color w:val="000000"/>
        </w:rPr>
      </w:pPr>
      <w:r>
        <w:rPr>
          <w:color w:val="000000"/>
        </w:rPr>
        <w:t>________________________________________________________________________</w:t>
      </w:r>
    </w:p>
    <w:p w:rsidR="000A0A14" w:rsidRDefault="000A0A14" w:rsidP="000A0A14">
      <w:pPr>
        <w:spacing w:line="193" w:lineRule="atLeast"/>
        <w:jc w:val="both"/>
        <w:textAlignment w:val="baseline"/>
        <w:rPr>
          <w:rFonts w:ascii="Times New Roman" w:eastAsia="Times New Roman" w:hAnsi="Times New Roman" w:cs="Times New Roman"/>
          <w:iCs/>
          <w:color w:val="000000"/>
          <w:sz w:val="24"/>
          <w:szCs w:val="24"/>
        </w:rPr>
      </w:pPr>
      <w:r w:rsidRPr="000A0A14">
        <w:rPr>
          <w:rFonts w:ascii="Times New Roman" w:eastAsia="Times New Roman" w:hAnsi="Times New Roman" w:cs="Times New Roman"/>
          <w:iCs/>
          <w:color w:val="000000"/>
          <w:sz w:val="24"/>
          <w:szCs w:val="24"/>
        </w:rPr>
        <w:t>И</w:t>
      </w:r>
      <w:r w:rsidR="004434BB" w:rsidRPr="000A0A14">
        <w:rPr>
          <w:rFonts w:ascii="Times New Roman" w:eastAsia="Times New Roman" w:hAnsi="Times New Roman" w:cs="Times New Roman"/>
          <w:iCs/>
          <w:color w:val="000000"/>
          <w:sz w:val="24"/>
          <w:szCs w:val="24"/>
        </w:rPr>
        <w:t xml:space="preserve">нформация ГУ-УПФР в Березовском районе </w:t>
      </w:r>
      <w:proofErr w:type="spellStart"/>
      <w:r w:rsidR="004434BB" w:rsidRPr="000A0A14">
        <w:rPr>
          <w:rFonts w:ascii="Times New Roman" w:eastAsia="Times New Roman" w:hAnsi="Times New Roman" w:cs="Times New Roman"/>
          <w:iCs/>
          <w:color w:val="000000"/>
          <w:sz w:val="24"/>
          <w:szCs w:val="24"/>
        </w:rPr>
        <w:t>ХМАО-Югры</w:t>
      </w:r>
      <w:proofErr w:type="spellEnd"/>
      <w:r w:rsidR="004434BB" w:rsidRPr="000A0A14">
        <w:rPr>
          <w:rFonts w:ascii="Times New Roman" w:eastAsia="Times New Roman" w:hAnsi="Times New Roman" w:cs="Times New Roman"/>
          <w:iCs/>
          <w:color w:val="000000"/>
          <w:sz w:val="24"/>
          <w:szCs w:val="24"/>
        </w:rPr>
        <w:t xml:space="preserve">, </w:t>
      </w:r>
    </w:p>
    <w:p w:rsidR="004434BB" w:rsidRPr="000A0A14" w:rsidRDefault="004434BB" w:rsidP="000A0A14">
      <w:pPr>
        <w:spacing w:line="193" w:lineRule="atLeast"/>
        <w:jc w:val="both"/>
        <w:textAlignment w:val="baseline"/>
        <w:rPr>
          <w:rFonts w:ascii="Times New Roman" w:eastAsia="Times New Roman" w:hAnsi="Times New Roman" w:cs="Times New Roman"/>
          <w:iCs/>
          <w:color w:val="000000"/>
          <w:sz w:val="24"/>
          <w:szCs w:val="24"/>
        </w:rPr>
      </w:pPr>
      <w:r w:rsidRPr="000A0A14">
        <w:rPr>
          <w:rFonts w:ascii="Times New Roman" w:eastAsia="Times New Roman" w:hAnsi="Times New Roman" w:cs="Times New Roman"/>
          <w:iCs/>
          <w:color w:val="000000"/>
          <w:sz w:val="24"/>
          <w:szCs w:val="24"/>
        </w:rPr>
        <w:t>телефон для справок 2-</w:t>
      </w:r>
      <w:r w:rsidR="000A0A14" w:rsidRPr="000A0A14">
        <w:rPr>
          <w:rFonts w:ascii="Times New Roman" w:eastAsia="Times New Roman" w:hAnsi="Times New Roman" w:cs="Times New Roman"/>
          <w:iCs/>
          <w:color w:val="000000"/>
          <w:sz w:val="24"/>
          <w:szCs w:val="24"/>
        </w:rPr>
        <w:t>40</w:t>
      </w:r>
      <w:r w:rsidRPr="000A0A14">
        <w:rPr>
          <w:rFonts w:ascii="Times New Roman" w:eastAsia="Times New Roman" w:hAnsi="Times New Roman" w:cs="Times New Roman"/>
          <w:iCs/>
          <w:color w:val="000000"/>
          <w:sz w:val="24"/>
          <w:szCs w:val="24"/>
        </w:rPr>
        <w:t>-</w:t>
      </w:r>
      <w:r w:rsidR="000A0A14" w:rsidRPr="000A0A14">
        <w:rPr>
          <w:rFonts w:ascii="Times New Roman" w:eastAsia="Times New Roman" w:hAnsi="Times New Roman" w:cs="Times New Roman"/>
          <w:iCs/>
          <w:color w:val="000000"/>
          <w:sz w:val="24"/>
          <w:szCs w:val="24"/>
        </w:rPr>
        <w:t>52</w:t>
      </w:r>
      <w:r w:rsidRPr="000A0A14">
        <w:rPr>
          <w:rFonts w:ascii="Times New Roman" w:eastAsia="Times New Roman" w:hAnsi="Times New Roman" w:cs="Times New Roman"/>
          <w:iCs/>
          <w:color w:val="000000"/>
          <w:sz w:val="24"/>
          <w:szCs w:val="24"/>
        </w:rPr>
        <w:t>, 2-</w:t>
      </w:r>
      <w:r w:rsidR="000A0A14" w:rsidRPr="000A0A14">
        <w:rPr>
          <w:rFonts w:ascii="Times New Roman" w:eastAsia="Times New Roman" w:hAnsi="Times New Roman" w:cs="Times New Roman"/>
          <w:iCs/>
          <w:color w:val="000000"/>
          <w:sz w:val="24"/>
          <w:szCs w:val="24"/>
        </w:rPr>
        <w:t>29</w:t>
      </w:r>
      <w:r w:rsidRPr="000A0A14">
        <w:rPr>
          <w:rFonts w:ascii="Times New Roman" w:eastAsia="Times New Roman" w:hAnsi="Times New Roman" w:cs="Times New Roman"/>
          <w:iCs/>
          <w:color w:val="000000"/>
          <w:sz w:val="24"/>
          <w:szCs w:val="24"/>
        </w:rPr>
        <w:t>-1</w:t>
      </w:r>
      <w:r w:rsidR="000A0A14" w:rsidRPr="000A0A14">
        <w:rPr>
          <w:rFonts w:ascii="Times New Roman" w:eastAsia="Times New Roman" w:hAnsi="Times New Roman" w:cs="Times New Roman"/>
          <w:iCs/>
          <w:color w:val="000000"/>
          <w:sz w:val="24"/>
          <w:szCs w:val="24"/>
        </w:rPr>
        <w:t>0</w:t>
      </w:r>
      <w:r w:rsidRPr="000A0A14">
        <w:rPr>
          <w:rFonts w:ascii="Times New Roman" w:eastAsia="Times New Roman" w:hAnsi="Times New Roman" w:cs="Times New Roman"/>
          <w:iCs/>
          <w:color w:val="000000"/>
          <w:sz w:val="24"/>
          <w:szCs w:val="24"/>
        </w:rPr>
        <w:t>, 2-</w:t>
      </w:r>
      <w:r w:rsidR="000A0A14" w:rsidRPr="000A0A14">
        <w:rPr>
          <w:rFonts w:ascii="Times New Roman" w:eastAsia="Times New Roman" w:hAnsi="Times New Roman" w:cs="Times New Roman"/>
          <w:iCs/>
          <w:color w:val="000000"/>
          <w:sz w:val="24"/>
          <w:szCs w:val="24"/>
        </w:rPr>
        <w:t>29</w:t>
      </w:r>
      <w:r w:rsidRPr="000A0A14">
        <w:rPr>
          <w:rFonts w:ascii="Times New Roman" w:eastAsia="Times New Roman" w:hAnsi="Times New Roman" w:cs="Times New Roman"/>
          <w:iCs/>
          <w:color w:val="000000"/>
          <w:sz w:val="24"/>
          <w:szCs w:val="24"/>
        </w:rPr>
        <w:t>-</w:t>
      </w:r>
      <w:r w:rsidR="000A0A14" w:rsidRPr="000A0A14">
        <w:rPr>
          <w:rFonts w:ascii="Times New Roman" w:eastAsia="Times New Roman" w:hAnsi="Times New Roman" w:cs="Times New Roman"/>
          <w:iCs/>
          <w:color w:val="000000"/>
          <w:sz w:val="24"/>
          <w:szCs w:val="24"/>
        </w:rPr>
        <w:t>87</w:t>
      </w:r>
      <w:r w:rsidRPr="000A0A14">
        <w:rPr>
          <w:rFonts w:ascii="Times New Roman" w:eastAsia="Times New Roman" w:hAnsi="Times New Roman" w:cs="Times New Roman"/>
          <w:iCs/>
          <w:color w:val="000000"/>
          <w:sz w:val="24"/>
          <w:szCs w:val="24"/>
        </w:rPr>
        <w:t>.</w:t>
      </w:r>
    </w:p>
    <w:p w:rsidR="004434BB" w:rsidRPr="00903952" w:rsidRDefault="004434BB" w:rsidP="004434BB">
      <w:pPr>
        <w:spacing w:after="168" w:line="193" w:lineRule="atLeast"/>
        <w:jc w:val="both"/>
        <w:textAlignment w:val="baseline"/>
        <w:rPr>
          <w:rFonts w:ascii="Times New Roman" w:eastAsia="Times New Roman" w:hAnsi="Times New Roman" w:cs="Times New Roman"/>
          <w:i/>
          <w:iCs/>
          <w:color w:val="000000"/>
          <w:sz w:val="28"/>
          <w:szCs w:val="28"/>
        </w:rPr>
      </w:pPr>
    </w:p>
    <w:sectPr w:rsidR="004434BB" w:rsidRPr="00903952" w:rsidSect="000C7D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708C1"/>
    <w:multiLevelType w:val="multilevel"/>
    <w:tmpl w:val="08807C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B1F6064"/>
    <w:multiLevelType w:val="multilevel"/>
    <w:tmpl w:val="E546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EB3877"/>
    <w:rsid w:val="00047EAA"/>
    <w:rsid w:val="000A0A14"/>
    <w:rsid w:val="000C5DCE"/>
    <w:rsid w:val="000C7D7F"/>
    <w:rsid w:val="000F057F"/>
    <w:rsid w:val="00106829"/>
    <w:rsid w:val="002505CF"/>
    <w:rsid w:val="002519DA"/>
    <w:rsid w:val="002B039B"/>
    <w:rsid w:val="002B0EF1"/>
    <w:rsid w:val="002E08F4"/>
    <w:rsid w:val="00344C6B"/>
    <w:rsid w:val="003B3F9C"/>
    <w:rsid w:val="0043144A"/>
    <w:rsid w:val="004330F1"/>
    <w:rsid w:val="0044062C"/>
    <w:rsid w:val="004434BB"/>
    <w:rsid w:val="00476A5D"/>
    <w:rsid w:val="004C5613"/>
    <w:rsid w:val="004D4A8B"/>
    <w:rsid w:val="004E4AFD"/>
    <w:rsid w:val="00585650"/>
    <w:rsid w:val="0061186D"/>
    <w:rsid w:val="00621234"/>
    <w:rsid w:val="0063493E"/>
    <w:rsid w:val="00636F11"/>
    <w:rsid w:val="0067022C"/>
    <w:rsid w:val="006B34DA"/>
    <w:rsid w:val="006C1537"/>
    <w:rsid w:val="00712EC7"/>
    <w:rsid w:val="00730743"/>
    <w:rsid w:val="007414CE"/>
    <w:rsid w:val="00742ADF"/>
    <w:rsid w:val="007552DA"/>
    <w:rsid w:val="007B6ACA"/>
    <w:rsid w:val="00841ADC"/>
    <w:rsid w:val="00844441"/>
    <w:rsid w:val="00861E97"/>
    <w:rsid w:val="008649D8"/>
    <w:rsid w:val="0087091E"/>
    <w:rsid w:val="008A2779"/>
    <w:rsid w:val="00903952"/>
    <w:rsid w:val="009470D6"/>
    <w:rsid w:val="0095457F"/>
    <w:rsid w:val="00A03FD7"/>
    <w:rsid w:val="00A0649B"/>
    <w:rsid w:val="00A1192E"/>
    <w:rsid w:val="00A91C53"/>
    <w:rsid w:val="00AB62BD"/>
    <w:rsid w:val="00AC7C98"/>
    <w:rsid w:val="00B94F1F"/>
    <w:rsid w:val="00BF227A"/>
    <w:rsid w:val="00C348D2"/>
    <w:rsid w:val="00C532C9"/>
    <w:rsid w:val="00C63886"/>
    <w:rsid w:val="00C827FB"/>
    <w:rsid w:val="00CA798A"/>
    <w:rsid w:val="00CF510A"/>
    <w:rsid w:val="00D258E4"/>
    <w:rsid w:val="00D43A07"/>
    <w:rsid w:val="00D922D0"/>
    <w:rsid w:val="00D9638F"/>
    <w:rsid w:val="00DA1E10"/>
    <w:rsid w:val="00DA58C6"/>
    <w:rsid w:val="00DF6BF8"/>
    <w:rsid w:val="00E16CF3"/>
    <w:rsid w:val="00E62DB4"/>
    <w:rsid w:val="00EB3877"/>
    <w:rsid w:val="00EC7DA1"/>
    <w:rsid w:val="00F3344B"/>
    <w:rsid w:val="00F55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D7F"/>
  </w:style>
  <w:style w:type="paragraph" w:styleId="1">
    <w:name w:val="heading 1"/>
    <w:basedOn w:val="a"/>
    <w:link w:val="10"/>
    <w:uiPriority w:val="9"/>
    <w:qFormat/>
    <w:rsid w:val="00EB38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EB38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3877"/>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EB3877"/>
    <w:rPr>
      <w:rFonts w:ascii="Times New Roman" w:eastAsia="Times New Roman" w:hAnsi="Times New Roman" w:cs="Times New Roman"/>
      <w:b/>
      <w:bCs/>
      <w:sz w:val="27"/>
      <w:szCs w:val="27"/>
    </w:rPr>
  </w:style>
  <w:style w:type="paragraph" w:styleId="a3">
    <w:name w:val="Normal (Web)"/>
    <w:basedOn w:val="a"/>
    <w:uiPriority w:val="99"/>
    <w:semiHidden/>
    <w:unhideWhenUsed/>
    <w:rsid w:val="00EB387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B38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3877"/>
    <w:rPr>
      <w:rFonts w:ascii="Tahoma" w:hAnsi="Tahoma" w:cs="Tahoma"/>
      <w:sz w:val="16"/>
      <w:szCs w:val="16"/>
    </w:rPr>
  </w:style>
  <w:style w:type="paragraph" w:styleId="a6">
    <w:name w:val="Body Text"/>
    <w:basedOn w:val="a"/>
    <w:link w:val="a7"/>
    <w:rsid w:val="004C561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4C5613"/>
    <w:rPr>
      <w:rFonts w:ascii="Times New Roman" w:eastAsia="Times New Roman" w:hAnsi="Times New Roman" w:cs="Times New Roman"/>
      <w:sz w:val="24"/>
      <w:szCs w:val="24"/>
    </w:rPr>
  </w:style>
  <w:style w:type="character" w:styleId="a8">
    <w:name w:val="Hyperlink"/>
    <w:basedOn w:val="a0"/>
    <w:uiPriority w:val="99"/>
    <w:semiHidden/>
    <w:unhideWhenUsed/>
    <w:rsid w:val="000A0A14"/>
    <w:rPr>
      <w:color w:val="0000FF"/>
      <w:u w:val="single"/>
    </w:rPr>
  </w:style>
  <w:style w:type="character" w:customStyle="1" w:styleId="apple-converted-space">
    <w:name w:val="apple-converted-space"/>
    <w:basedOn w:val="a0"/>
    <w:rsid w:val="000A0A14"/>
  </w:style>
  <w:style w:type="character" w:styleId="a9">
    <w:name w:val="Strong"/>
    <w:basedOn w:val="a0"/>
    <w:uiPriority w:val="22"/>
    <w:qFormat/>
    <w:rsid w:val="000A0A14"/>
    <w:rPr>
      <w:b/>
      <w:bCs/>
    </w:rPr>
  </w:style>
</w:styles>
</file>

<file path=word/webSettings.xml><?xml version="1.0" encoding="utf-8"?>
<w:webSettings xmlns:r="http://schemas.openxmlformats.org/officeDocument/2006/relationships" xmlns:w="http://schemas.openxmlformats.org/wordprocessingml/2006/main">
  <w:divs>
    <w:div w:id="226765692">
      <w:bodyDiv w:val="1"/>
      <w:marLeft w:val="0"/>
      <w:marRight w:val="0"/>
      <w:marTop w:val="0"/>
      <w:marBottom w:val="0"/>
      <w:divBdr>
        <w:top w:val="none" w:sz="0" w:space="0" w:color="auto"/>
        <w:left w:val="none" w:sz="0" w:space="0" w:color="auto"/>
        <w:bottom w:val="none" w:sz="0" w:space="0" w:color="auto"/>
        <w:right w:val="none" w:sz="0" w:space="0" w:color="auto"/>
      </w:divBdr>
    </w:div>
    <w:div w:id="619534982">
      <w:bodyDiv w:val="1"/>
      <w:marLeft w:val="0"/>
      <w:marRight w:val="0"/>
      <w:marTop w:val="0"/>
      <w:marBottom w:val="0"/>
      <w:divBdr>
        <w:top w:val="none" w:sz="0" w:space="0" w:color="auto"/>
        <w:left w:val="none" w:sz="0" w:space="0" w:color="auto"/>
        <w:bottom w:val="none" w:sz="0" w:space="0" w:color="auto"/>
        <w:right w:val="none" w:sz="0" w:space="0" w:color="auto"/>
      </w:divBdr>
    </w:div>
    <w:div w:id="671953852">
      <w:bodyDiv w:val="1"/>
      <w:marLeft w:val="0"/>
      <w:marRight w:val="0"/>
      <w:marTop w:val="0"/>
      <w:marBottom w:val="0"/>
      <w:divBdr>
        <w:top w:val="none" w:sz="0" w:space="0" w:color="auto"/>
        <w:left w:val="none" w:sz="0" w:space="0" w:color="auto"/>
        <w:bottom w:val="none" w:sz="0" w:space="0" w:color="auto"/>
        <w:right w:val="none" w:sz="0" w:space="0" w:color="auto"/>
      </w:divBdr>
    </w:div>
    <w:div w:id="1313288077">
      <w:bodyDiv w:val="1"/>
      <w:marLeft w:val="0"/>
      <w:marRight w:val="0"/>
      <w:marTop w:val="0"/>
      <w:marBottom w:val="0"/>
      <w:divBdr>
        <w:top w:val="none" w:sz="0" w:space="0" w:color="auto"/>
        <w:left w:val="none" w:sz="0" w:space="0" w:color="auto"/>
        <w:bottom w:val="none" w:sz="0" w:space="0" w:color="auto"/>
        <w:right w:val="none" w:sz="0" w:space="0" w:color="auto"/>
      </w:divBdr>
      <w:divsChild>
        <w:div w:id="1221095801">
          <w:marLeft w:val="0"/>
          <w:marRight w:val="0"/>
          <w:marTop w:val="100"/>
          <w:marBottom w:val="100"/>
          <w:divBdr>
            <w:top w:val="none" w:sz="0" w:space="0" w:color="auto"/>
            <w:left w:val="none" w:sz="0" w:space="0" w:color="auto"/>
            <w:bottom w:val="none" w:sz="0" w:space="0" w:color="auto"/>
            <w:right w:val="none" w:sz="0" w:space="0" w:color="auto"/>
          </w:divBdr>
          <w:divsChild>
            <w:div w:id="1009984826">
              <w:marLeft w:val="0"/>
              <w:marRight w:val="0"/>
              <w:marTop w:val="0"/>
              <w:marBottom w:val="0"/>
              <w:divBdr>
                <w:top w:val="none" w:sz="0" w:space="0" w:color="auto"/>
                <w:left w:val="none" w:sz="0" w:space="0" w:color="auto"/>
                <w:bottom w:val="none" w:sz="0" w:space="0" w:color="auto"/>
                <w:right w:val="none" w:sz="0" w:space="0" w:color="auto"/>
              </w:divBdr>
              <w:divsChild>
                <w:div w:id="350687138">
                  <w:marLeft w:val="0"/>
                  <w:marRight w:val="0"/>
                  <w:marTop w:val="0"/>
                  <w:marBottom w:val="0"/>
                  <w:divBdr>
                    <w:top w:val="none" w:sz="0" w:space="0" w:color="auto"/>
                    <w:left w:val="none" w:sz="0" w:space="0" w:color="auto"/>
                    <w:bottom w:val="none" w:sz="0" w:space="0" w:color="auto"/>
                    <w:right w:val="none" w:sz="0" w:space="0" w:color="auto"/>
                  </w:divBdr>
                </w:div>
              </w:divsChild>
            </w:div>
            <w:div w:id="468716807">
              <w:marLeft w:val="0"/>
              <w:marRight w:val="0"/>
              <w:marTop w:val="0"/>
              <w:marBottom w:val="0"/>
              <w:divBdr>
                <w:top w:val="none" w:sz="0" w:space="0" w:color="auto"/>
                <w:left w:val="none" w:sz="0" w:space="0" w:color="auto"/>
                <w:bottom w:val="none" w:sz="0" w:space="0" w:color="auto"/>
                <w:right w:val="none" w:sz="0" w:space="0" w:color="auto"/>
              </w:divBdr>
              <w:divsChild>
                <w:div w:id="1812944833">
                  <w:marLeft w:val="0"/>
                  <w:marRight w:val="0"/>
                  <w:marTop w:val="0"/>
                  <w:marBottom w:val="0"/>
                  <w:divBdr>
                    <w:top w:val="none" w:sz="0" w:space="0" w:color="auto"/>
                    <w:left w:val="none" w:sz="0" w:space="0" w:color="auto"/>
                    <w:bottom w:val="none" w:sz="0" w:space="0" w:color="auto"/>
                    <w:right w:val="none" w:sz="0" w:space="0" w:color="auto"/>
                  </w:divBdr>
                  <w:divsChild>
                    <w:div w:id="10436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frf.ru/eservices/lk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pfrf.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1</Pages>
  <Words>371</Words>
  <Characters>2118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Наталья Буткова</cp:lastModifiedBy>
  <cp:revision>37</cp:revision>
  <cp:lastPrinted>2016-07-13T07:40:00Z</cp:lastPrinted>
  <dcterms:created xsi:type="dcterms:W3CDTF">2015-08-31T16:50:00Z</dcterms:created>
  <dcterms:modified xsi:type="dcterms:W3CDTF">2016-07-27T12:27:00Z</dcterms:modified>
</cp:coreProperties>
</file>