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 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1258,0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140,0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837A4">
              <w:rPr>
                <w:rFonts w:eastAsiaTheme="minorHAnsi"/>
                <w:szCs w:val="28"/>
                <w:lang w:eastAsia="en-US"/>
              </w:rPr>
              <w:t>1812,9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>
              <w:rPr>
                <w:rFonts w:eastAsiaTheme="minorHAnsi"/>
                <w:szCs w:val="28"/>
                <w:lang w:eastAsia="en-US"/>
              </w:rPr>
              <w:t>995,0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>
              <w:rPr>
                <w:rFonts w:eastAsiaTheme="minorHAnsi"/>
                <w:szCs w:val="28"/>
                <w:lang w:eastAsia="en-US"/>
              </w:rPr>
              <w:t>181,7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631763" w:rsidRPr="00EA4B90">
        <w:t>2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88282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 w:rsidR="00AA1A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AA1A0B" w:rsidRPr="006E11DF" w:rsidTr="002C3533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lastRenderedPageBreak/>
              <w:t>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23FC2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882827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AA1A0B" w:rsidP="0077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lastRenderedPageBreak/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17154,12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1977,39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B5" w:rsidRDefault="000938B5">
      <w:r>
        <w:separator/>
      </w:r>
    </w:p>
  </w:endnote>
  <w:endnote w:type="continuationSeparator" w:id="0">
    <w:p w:rsidR="000938B5" w:rsidRDefault="0009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B5" w:rsidRDefault="000938B5">
      <w:r>
        <w:separator/>
      </w:r>
    </w:p>
  </w:footnote>
  <w:footnote w:type="continuationSeparator" w:id="0">
    <w:p w:rsidR="000938B5" w:rsidRDefault="0009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F6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5012F"/>
    <w:rsid w:val="00D54800"/>
    <w:rsid w:val="00D56014"/>
    <w:rsid w:val="00D65C68"/>
    <w:rsid w:val="00D70B44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6C41"/>
    <w:rsid w:val="00F509FD"/>
    <w:rsid w:val="00F50C87"/>
    <w:rsid w:val="00F52FE1"/>
    <w:rsid w:val="00F5624C"/>
    <w:rsid w:val="00F71512"/>
    <w:rsid w:val="00F7358D"/>
    <w:rsid w:val="00F768B4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6044-8EC7-4DF5-B994-7C8AA4B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8000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8</cp:revision>
  <cp:lastPrinted>2021-04-14T12:40:00Z</cp:lastPrinted>
  <dcterms:created xsi:type="dcterms:W3CDTF">2018-07-05T05:41:00Z</dcterms:created>
  <dcterms:modified xsi:type="dcterms:W3CDTF">2021-04-14T12:42:00Z</dcterms:modified>
</cp:coreProperties>
</file>