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7" w:rsidRDefault="007F2E27" w:rsidP="007F2E27">
      <w:pPr>
        <w:jc w:val="center"/>
      </w:pPr>
      <w:r>
        <w:rPr>
          <w:noProof/>
          <w:lang w:eastAsia="ru-RU"/>
        </w:rPr>
        <w:drawing>
          <wp:inline distT="0" distB="0" distL="0" distR="0" wp14:anchorId="1CDA1103" wp14:editId="74CB6C24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27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2E27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2E27" w:rsidRPr="00801156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2E27" w:rsidRPr="00801156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2E27" w:rsidRPr="007D117F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2E27" w:rsidRPr="007D117F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2E27" w:rsidRPr="00923417" w:rsidRDefault="007F2E27" w:rsidP="007F2E2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2E27" w:rsidRPr="00A07E38" w:rsidRDefault="007F2E27" w:rsidP="007F2E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F2E27" w:rsidRDefault="007F2E27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675B" w:rsidRPr="003D6D0F" w:rsidRDefault="006F675B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</w:p>
    <w:p w:rsidR="007F2E27" w:rsidRPr="007F04DA" w:rsidRDefault="007F2E27" w:rsidP="007F2E2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D4628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Pr="00ED462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.2017</w:t>
      </w:r>
    </w:p>
    <w:p w:rsidR="007F2E27" w:rsidRPr="007F2E27" w:rsidRDefault="007F2E27" w:rsidP="007F2E2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27">
        <w:rPr>
          <w:rFonts w:ascii="Times New Roman" w:hAnsi="Times New Roman" w:cs="Times New Roman"/>
          <w:b/>
          <w:sz w:val="24"/>
          <w:szCs w:val="24"/>
        </w:rPr>
        <w:t>Совместная работа улучшит бизнес-среду в округе</w:t>
      </w:r>
    </w:p>
    <w:p w:rsidR="007F2E27" w:rsidRDefault="007F2E27" w:rsidP="007F2E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Pr="007F2E27" w:rsidRDefault="007F2E27" w:rsidP="007F2E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6F675B">
        <w:rPr>
          <w:rFonts w:ascii="Times New Roman" w:hAnsi="Times New Roman" w:cs="Times New Roman"/>
          <w:sz w:val="24"/>
          <w:szCs w:val="24"/>
        </w:rPr>
        <w:t>Кадастровой палаты</w:t>
      </w:r>
      <w:r>
        <w:rPr>
          <w:rFonts w:ascii="Times New Roman" w:hAnsi="Times New Roman" w:cs="Times New Roman"/>
          <w:sz w:val="24"/>
          <w:szCs w:val="24"/>
        </w:rPr>
        <w:t xml:space="preserve"> по Ханты-Манс</w:t>
      </w:r>
      <w:r w:rsidR="006F675B">
        <w:rPr>
          <w:rFonts w:ascii="Times New Roman" w:hAnsi="Times New Roman" w:cs="Times New Roman"/>
          <w:sz w:val="24"/>
          <w:szCs w:val="24"/>
        </w:rPr>
        <w:t>ийскому автономному округу-Югре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E27">
        <w:rPr>
          <w:rFonts w:ascii="Times New Roman" w:hAnsi="Times New Roman" w:cs="Times New Roman"/>
          <w:sz w:val="24"/>
          <w:szCs w:val="24"/>
        </w:rPr>
        <w:t>продолжает информировать всех заинтересованных лиц о целевых моделях, служащих упрощению процедур ведения бизнеса и повышения инвестиционной привлекательности субъектов Российской Федерации.</w:t>
      </w:r>
    </w:p>
    <w:p w:rsidR="007F2E27" w:rsidRP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 xml:space="preserve">Целевые модели подготовлены Минэкономразвития России в соответствии с поручением Президента России по итогам совместного заседания президиума Госсовета и консультативной комиссии Госсовета 12 ноября 2016 года. </w:t>
      </w:r>
    </w:p>
    <w:p w:rsidR="007F2E27" w:rsidRP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>Целевые модели "Регистрация права собственности на земельные участки и объекты недвижимого имущества" и "Постановка на кадастровый учет земельных участков и объектов недвижимого имущества" - две из двенадцати предложенных Минэкономразвития России. Их целью также является формирование благоприятного инвестиционного климата в нашей области.</w:t>
      </w:r>
    </w:p>
    <w:p w:rsidR="006F675B" w:rsidRDefault="006F675B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75B">
        <w:rPr>
          <w:rFonts w:ascii="Times New Roman" w:hAnsi="Times New Roman" w:cs="Times New Roman"/>
          <w:sz w:val="24"/>
          <w:szCs w:val="24"/>
        </w:rPr>
        <w:t xml:space="preserve">Целевые модели выстроены в логике последовательности действий, которые осуществляет заявитель для получения земельного участка, здания, сооружения или объекта незавершенного строительства в собственность, – с момента выбора объекта недвижимости до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завершающих процедур: </w:t>
      </w:r>
      <w:r w:rsidRPr="006F675B">
        <w:rPr>
          <w:rFonts w:ascii="Times New Roman" w:hAnsi="Times New Roman" w:cs="Times New Roman"/>
          <w:sz w:val="24"/>
          <w:szCs w:val="24"/>
        </w:rPr>
        <w:t>постановки на кадастровый учет и оформления прав собственности.</w:t>
      </w:r>
    </w:p>
    <w:p w:rsidR="007F2E27" w:rsidRP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>Так выбор земельного участка заявитель начинает с ознакомления с градостроительными документами, в том числе с информацией из генпланов и правил землепользования и застройки, обязанность по подготовке которых возложена на органы местного самоуправления.</w:t>
      </w: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 xml:space="preserve">Также заявителю необходимо подготовить и утвердить схему расположения выбранного земельного участка на кадастровом плане территории и присвоить ему адрес. За получением </w:t>
      </w:r>
      <w:r w:rsidRPr="007F2E27">
        <w:rPr>
          <w:rFonts w:ascii="Times New Roman" w:hAnsi="Times New Roman" w:cs="Times New Roman"/>
          <w:sz w:val="24"/>
          <w:szCs w:val="24"/>
        </w:rPr>
        <w:lastRenderedPageBreak/>
        <w:t>данных услуг заявитель обращается к кадастровым инженерам и опять же к органам местного самоуправления.</w:t>
      </w:r>
    </w:p>
    <w:p w:rsidR="007F2E27" w:rsidRP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>Кроме этого, процесс получения данных услуг напрямую зависит от качества градостроительной документации, а также наличия в Едином государственном реестре недвижимости (ЕГРН) достоверных сведений о границах административно-территориальных образований, водных и лесных объектов, объектов культурного наследия, обязанность по установлению которых возложена в основном на региональные органы власти.</w:t>
      </w:r>
    </w:p>
    <w:p w:rsidR="00700265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>Следующим этапом, который необходимо пройти заявителю для оформления недвижимости, является процедура межевания, которую осуществляет на договорной основе кадастровый инженер.</w:t>
      </w: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 xml:space="preserve"> И только после успешного выполнения всех этих действий заявитель обращается в </w:t>
      </w:r>
      <w:proofErr w:type="spellStart"/>
      <w:r w:rsidRPr="007F2E2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2E27">
        <w:rPr>
          <w:rFonts w:ascii="Times New Roman" w:hAnsi="Times New Roman" w:cs="Times New Roman"/>
          <w:sz w:val="24"/>
          <w:szCs w:val="24"/>
        </w:rPr>
        <w:t>, чтобы поставить недвижимость на кадастровый учет и зарегистрировать на нее права.</w:t>
      </w:r>
    </w:p>
    <w:p w:rsidR="007F2E27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реализации целевых моделей зависит от качества и сроков подготовки документов на различных этапах, согласованности действий всех уровней власти, а также от профессионализма самих участников рынка недвижимости.</w:t>
      </w: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Pr="00D51109" w:rsidRDefault="007F2E27" w:rsidP="007F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44453" w:rsidRDefault="007F2E27" w:rsidP="000E4DC8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D44453" w:rsidSect="007F2E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2A"/>
    <w:rsid w:val="000E4DC8"/>
    <w:rsid w:val="0033222A"/>
    <w:rsid w:val="005B1CCE"/>
    <w:rsid w:val="006F675B"/>
    <w:rsid w:val="00700265"/>
    <w:rsid w:val="007F2E27"/>
    <w:rsid w:val="00D44453"/>
    <w:rsid w:val="00D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5</cp:revision>
  <dcterms:created xsi:type="dcterms:W3CDTF">2017-07-31T10:01:00Z</dcterms:created>
  <dcterms:modified xsi:type="dcterms:W3CDTF">2017-08-11T05:27:00Z</dcterms:modified>
</cp:coreProperties>
</file>