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4D" w:rsidRPr="006D2FEE" w:rsidRDefault="0087164D" w:rsidP="0087164D">
      <w:pPr>
        <w:spacing w:line="240" w:lineRule="auto"/>
        <w:ind w:left="708" w:firstLine="708"/>
        <w:contextualSpacing/>
        <w:jc w:val="center"/>
        <w:rPr>
          <w:b/>
          <w:sz w:val="28"/>
          <w:szCs w:val="28"/>
        </w:rPr>
      </w:pPr>
      <w:r w:rsidRPr="006D2FE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FEE">
        <w:rPr>
          <w:b/>
          <w:sz w:val="28"/>
          <w:szCs w:val="28"/>
        </w:rPr>
        <w:t xml:space="preserve">ИНФОРМАЦИЯ </w:t>
      </w:r>
    </w:p>
    <w:p w:rsidR="0087164D" w:rsidRPr="006D2FEE" w:rsidRDefault="0087164D" w:rsidP="0087164D">
      <w:pPr>
        <w:spacing w:line="240" w:lineRule="auto"/>
        <w:ind w:left="708" w:firstLine="708"/>
        <w:contextualSpacing/>
        <w:jc w:val="center"/>
        <w:rPr>
          <w:b/>
          <w:sz w:val="28"/>
          <w:szCs w:val="28"/>
        </w:rPr>
      </w:pPr>
      <w:r w:rsidRPr="006D2FEE">
        <w:rPr>
          <w:b/>
          <w:sz w:val="28"/>
          <w:szCs w:val="28"/>
        </w:rPr>
        <w:t>ГУ – УПРАВЛЕНИЯ ПЕНСИОННОГО ФОНДА РФ</w:t>
      </w:r>
    </w:p>
    <w:p w:rsidR="0087164D" w:rsidRPr="006D2FEE" w:rsidRDefault="0087164D" w:rsidP="0087164D">
      <w:pPr>
        <w:spacing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6D2FEE">
        <w:rPr>
          <w:b/>
          <w:sz w:val="28"/>
          <w:szCs w:val="28"/>
        </w:rPr>
        <w:t xml:space="preserve">                      В БЕРЕЗОВСКОМ РАЙОНЕ ХМАО-ЮГРЫ</w:t>
      </w:r>
    </w:p>
    <w:p w:rsidR="0087164D" w:rsidRPr="00A96067" w:rsidRDefault="0087164D" w:rsidP="0087164D">
      <w:pPr>
        <w:pStyle w:val="3"/>
        <w:pBdr>
          <w:bottom w:val="single" w:sz="12" w:space="1" w:color="auto"/>
        </w:pBdr>
        <w:contextualSpacing/>
        <w:jc w:val="both"/>
        <w:rPr>
          <w:i/>
          <w:sz w:val="24"/>
          <w:szCs w:val="24"/>
        </w:rPr>
      </w:pPr>
    </w:p>
    <w:p w:rsidR="00C3407C" w:rsidRDefault="0087164D" w:rsidP="00C3407C">
      <w:pPr>
        <w:pStyle w:val="3"/>
        <w:spacing w:before="0" w:beforeAutospacing="0" w:after="240" w:afterAutospacing="0" w:line="288" w:lineRule="atLeast"/>
        <w:textAlignment w:val="baseline"/>
        <w:rPr>
          <w:rFonts w:ascii="inherit" w:hAnsi="inherit" w:cs="Arial"/>
          <w:color w:val="556677"/>
          <w:sz w:val="21"/>
          <w:szCs w:val="21"/>
        </w:rPr>
      </w:pPr>
      <w:r>
        <w:rPr>
          <w:rFonts w:ascii="inherit" w:hAnsi="inherit" w:cs="Arial"/>
          <w:color w:val="556677"/>
          <w:sz w:val="21"/>
          <w:szCs w:val="21"/>
        </w:rPr>
        <w:t>1</w:t>
      </w:r>
      <w:r w:rsidR="00375332">
        <w:rPr>
          <w:rFonts w:ascii="inherit" w:hAnsi="inherit" w:cs="Arial"/>
          <w:color w:val="556677"/>
          <w:sz w:val="21"/>
          <w:szCs w:val="21"/>
        </w:rPr>
        <w:t xml:space="preserve">8 </w:t>
      </w:r>
      <w:r>
        <w:rPr>
          <w:rFonts w:ascii="inherit" w:hAnsi="inherit" w:cs="Arial"/>
          <w:color w:val="556677"/>
          <w:sz w:val="21"/>
          <w:szCs w:val="21"/>
        </w:rPr>
        <w:t xml:space="preserve"> февраля</w:t>
      </w:r>
      <w:r w:rsidR="00C3407C">
        <w:rPr>
          <w:rFonts w:ascii="inherit" w:hAnsi="inherit" w:cs="Arial"/>
          <w:color w:val="556677"/>
          <w:sz w:val="21"/>
          <w:szCs w:val="21"/>
        </w:rPr>
        <w:t xml:space="preserve"> 2019</w:t>
      </w:r>
    </w:p>
    <w:p w:rsidR="00B3233F" w:rsidRDefault="00B3233F" w:rsidP="00B3233F">
      <w:pPr>
        <w:pStyle w:val="3"/>
        <w:spacing w:before="0" w:beforeAutospacing="0" w:after="192" w:afterAutospacing="0" w:line="288" w:lineRule="atLeast"/>
        <w:jc w:val="center"/>
        <w:textAlignment w:val="baseline"/>
        <w:rPr>
          <w:rFonts w:ascii="inherit" w:hAnsi="inherit" w:cs="Arial"/>
          <w:noProof/>
          <w:color w:val="334455"/>
          <w:sz w:val="32"/>
          <w:szCs w:val="32"/>
        </w:rPr>
      </w:pPr>
      <w:r>
        <w:rPr>
          <w:rFonts w:ascii="inherit" w:hAnsi="inherit" w:cs="Arial"/>
          <w:noProof/>
          <w:color w:val="334455"/>
          <w:sz w:val="32"/>
          <w:szCs w:val="32"/>
        </w:rPr>
        <w:t>Доходы от пенсионных накоплений</w:t>
      </w:r>
    </w:p>
    <w:p w:rsidR="00C3407C" w:rsidRDefault="00C3407C" w:rsidP="00C3407C">
      <w:pPr>
        <w:pStyle w:val="3"/>
        <w:spacing w:before="0" w:beforeAutospacing="0" w:after="192" w:afterAutospacing="0" w:line="288" w:lineRule="atLeast"/>
        <w:jc w:val="both"/>
        <w:textAlignment w:val="baseline"/>
        <w:rPr>
          <w:rFonts w:ascii="inherit" w:hAnsi="inherit" w:cs="Arial"/>
          <w:color w:val="334455"/>
          <w:sz w:val="32"/>
          <w:szCs w:val="32"/>
        </w:rPr>
      </w:pPr>
      <w:r>
        <w:rPr>
          <w:rFonts w:ascii="inherit" w:hAnsi="inherit" w:cs="Arial"/>
          <w:color w:val="334455"/>
          <w:sz w:val="32"/>
          <w:szCs w:val="32"/>
        </w:rPr>
        <w:t xml:space="preserve">Доход, полученный Пенсионным фондом России от размещения средств пенсионных накоплений на депозиты кредитных организаций, составил по результатам 2018 года 7,2 </w:t>
      </w:r>
      <w:proofErr w:type="spellStart"/>
      <w:proofErr w:type="gramStart"/>
      <w:r>
        <w:rPr>
          <w:rFonts w:ascii="inherit" w:hAnsi="inherit" w:cs="Arial"/>
          <w:color w:val="334455"/>
          <w:sz w:val="32"/>
          <w:szCs w:val="32"/>
        </w:rPr>
        <w:t>млрд</w:t>
      </w:r>
      <w:proofErr w:type="spellEnd"/>
      <w:proofErr w:type="gramEnd"/>
      <w:r>
        <w:rPr>
          <w:rFonts w:ascii="inherit" w:hAnsi="inherit" w:cs="Arial"/>
          <w:color w:val="334455"/>
          <w:sz w:val="32"/>
          <w:szCs w:val="32"/>
        </w:rPr>
        <w:t xml:space="preserve"> рублей, или 7,44% годовых.</w:t>
      </w:r>
    </w:p>
    <w:p w:rsidR="00C3407C" w:rsidRDefault="00C3407C" w:rsidP="00C3407C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Основную часть суммы обеспечили доходы от размещения резерва по обязательному пенсионному страхованию – 7,06 </w:t>
      </w:r>
      <w:proofErr w:type="spellStart"/>
      <w:proofErr w:type="gramStart"/>
      <w:r>
        <w:rPr>
          <w:rFonts w:ascii="inherit" w:hAnsi="inherit" w:cs="Arial"/>
          <w:color w:val="000000"/>
        </w:rPr>
        <w:t>млрд</w:t>
      </w:r>
      <w:proofErr w:type="spellEnd"/>
      <w:proofErr w:type="gramEnd"/>
      <w:r>
        <w:rPr>
          <w:rFonts w:ascii="inherit" w:hAnsi="inherit" w:cs="Arial"/>
          <w:color w:val="000000"/>
        </w:rPr>
        <w:t xml:space="preserve"> рублей. Доходы от размещения страховых взносов составили 0,14 </w:t>
      </w:r>
      <w:proofErr w:type="spellStart"/>
      <w:proofErr w:type="gramStart"/>
      <w:r>
        <w:rPr>
          <w:rFonts w:ascii="inherit" w:hAnsi="inherit" w:cs="Arial"/>
          <w:color w:val="000000"/>
        </w:rPr>
        <w:t>млрд</w:t>
      </w:r>
      <w:proofErr w:type="spellEnd"/>
      <w:proofErr w:type="gramEnd"/>
      <w:r>
        <w:rPr>
          <w:rFonts w:ascii="inherit" w:hAnsi="inherit" w:cs="Arial"/>
          <w:color w:val="000000"/>
        </w:rPr>
        <w:t xml:space="preserve"> рублей.</w:t>
      </w:r>
    </w:p>
    <w:p w:rsidR="00C3407C" w:rsidRDefault="00C3407C" w:rsidP="00C3407C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В течение года ПФР провел 18 депозитных аукционов, половина из которых прошла на площадке Московской биржи, остальные – на  Санкт-Петербургской валютной бирже. Всего было заключено 34 </w:t>
      </w:r>
      <w:proofErr w:type="gramStart"/>
      <w:r>
        <w:rPr>
          <w:rFonts w:ascii="inherit" w:hAnsi="inherit" w:cs="Arial"/>
          <w:color w:val="000000"/>
        </w:rPr>
        <w:t>депозитных</w:t>
      </w:r>
      <w:proofErr w:type="gramEnd"/>
      <w:r>
        <w:rPr>
          <w:rFonts w:ascii="inherit" w:hAnsi="inherit" w:cs="Arial"/>
          <w:color w:val="000000"/>
        </w:rPr>
        <w:t xml:space="preserve"> договора. Оборот по размещенным ПФР средствам составил 276 </w:t>
      </w:r>
      <w:proofErr w:type="spellStart"/>
      <w:proofErr w:type="gramStart"/>
      <w:r>
        <w:rPr>
          <w:rFonts w:ascii="inherit" w:hAnsi="inherit" w:cs="Arial"/>
          <w:color w:val="000000"/>
        </w:rPr>
        <w:t>млрд</w:t>
      </w:r>
      <w:proofErr w:type="spellEnd"/>
      <w:proofErr w:type="gramEnd"/>
      <w:r>
        <w:rPr>
          <w:rFonts w:ascii="inherit" w:hAnsi="inherit" w:cs="Arial"/>
          <w:color w:val="000000"/>
        </w:rPr>
        <w:t xml:space="preserve"> рублей. Ставки по депозитам варьировались в пределах от 6,15% до 8,68%, сроки размещения – от 25 до 185 дней.</w:t>
      </w:r>
    </w:p>
    <w:p w:rsidR="00C3407C" w:rsidRDefault="00C3407C" w:rsidP="00C3407C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Пенсионный фонд России более 7 лет успешно обеспечивает временное размещение средств пенсионных накоплений на финансовом и фондовом рынках. Полученный за это время доход превысил 74 </w:t>
      </w:r>
      <w:proofErr w:type="spellStart"/>
      <w:proofErr w:type="gramStart"/>
      <w:r>
        <w:rPr>
          <w:rFonts w:ascii="inherit" w:hAnsi="inherit" w:cs="Arial"/>
          <w:color w:val="000000"/>
        </w:rPr>
        <w:t>млрд</w:t>
      </w:r>
      <w:proofErr w:type="spellEnd"/>
      <w:proofErr w:type="gramEnd"/>
      <w:r>
        <w:rPr>
          <w:rFonts w:ascii="inherit" w:hAnsi="inherit" w:cs="Arial"/>
          <w:color w:val="000000"/>
        </w:rPr>
        <w:t xml:space="preserve"> рублей. Все средства разнесены по лицевым счетам граждан.</w:t>
      </w:r>
    </w:p>
    <w:p w:rsidR="00C3407C" w:rsidRDefault="00C3407C" w:rsidP="00C3407C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Согласно закону средства обязательных и добровольных страховых взносов, поступающих на накопительную пенсию, подлежат инвестированию до момента передачи их в управляющие компании и негосударственные пенсионные фонды. Инвестированию также подлежат средства резерва ПФР по обязательному пенсионному страхованию.</w:t>
      </w:r>
    </w:p>
    <w:p w:rsidR="00C3407C" w:rsidRDefault="00C3407C" w:rsidP="00C3407C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Технология размещения средств Пенсионным фондом хорошо отлажена, а законодательная база, в рамках которой действует ПФР, и работа через биржи (ПАО «Московская биржа» и АО «Санкт-Петербургская валютная биржа») делает весь процесс прозрачным и эффективным. В совокупности эти факторы обеспечивают прирост сре</w:t>
      </w:r>
      <w:proofErr w:type="gramStart"/>
      <w:r>
        <w:rPr>
          <w:rFonts w:ascii="inherit" w:hAnsi="inherit" w:cs="Arial"/>
          <w:color w:val="000000"/>
        </w:rPr>
        <w:t>дств гр</w:t>
      </w:r>
      <w:proofErr w:type="gramEnd"/>
      <w:r>
        <w:rPr>
          <w:rFonts w:ascii="inherit" w:hAnsi="inherit" w:cs="Arial"/>
          <w:color w:val="000000"/>
        </w:rPr>
        <w:t>аждан еще до момента передачи профессиональным управляющим.</w:t>
      </w:r>
    </w:p>
    <w:p w:rsidR="00C3407C" w:rsidRDefault="00C3407C" w:rsidP="00C3407C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Напомним, с 2012 по 2015 год ПФР инвестировал средства в государственные ценные бумаги Российской Федерации. В портфеле Фонда находились облигации федерального займа (ОФЗ) и государственные сберегательные облигации (ГСО).</w:t>
      </w:r>
    </w:p>
    <w:p w:rsidR="00C3407C" w:rsidRDefault="00C3407C" w:rsidP="00C3407C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lastRenderedPageBreak/>
        <w:t xml:space="preserve">С марта 2013 года ПФР начал временно размещать средства страховых взносов в депозиты кредитных организаций. Общий доход, полученный за это время от инвестирования обязательных страховых вносов, составил 39 </w:t>
      </w:r>
      <w:proofErr w:type="spellStart"/>
      <w:proofErr w:type="gramStart"/>
      <w:r>
        <w:rPr>
          <w:rFonts w:ascii="inherit" w:hAnsi="inherit" w:cs="Arial"/>
          <w:color w:val="000000"/>
        </w:rPr>
        <w:t>млрд</w:t>
      </w:r>
      <w:proofErr w:type="spellEnd"/>
      <w:proofErr w:type="gramEnd"/>
      <w:r>
        <w:rPr>
          <w:rFonts w:ascii="inherit" w:hAnsi="inherit" w:cs="Arial"/>
          <w:color w:val="000000"/>
        </w:rPr>
        <w:t xml:space="preserve"> рублей, доход от инвестирования добровольных страховых взносов – 1,2 </w:t>
      </w:r>
      <w:proofErr w:type="spellStart"/>
      <w:r>
        <w:rPr>
          <w:rFonts w:ascii="inherit" w:hAnsi="inherit" w:cs="Arial"/>
          <w:color w:val="000000"/>
        </w:rPr>
        <w:t>млрд</w:t>
      </w:r>
      <w:proofErr w:type="spellEnd"/>
      <w:r>
        <w:rPr>
          <w:rFonts w:ascii="inherit" w:hAnsi="inherit" w:cs="Arial"/>
          <w:color w:val="000000"/>
        </w:rPr>
        <w:t xml:space="preserve"> рублей.</w:t>
      </w:r>
    </w:p>
    <w:p w:rsidR="00C3407C" w:rsidRDefault="00C3407C" w:rsidP="00C3407C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В период моратория 2014 года, передача средств в управляющие компании и негосударственные пенсионные фонды была приостановлена. Все средства находились во временном размещении ПФР. Полученный в результате доход превысил 22 </w:t>
      </w:r>
      <w:proofErr w:type="spellStart"/>
      <w:proofErr w:type="gramStart"/>
      <w:r>
        <w:rPr>
          <w:rFonts w:ascii="inherit" w:hAnsi="inherit" w:cs="Arial"/>
          <w:color w:val="000000"/>
        </w:rPr>
        <w:t>млрд</w:t>
      </w:r>
      <w:proofErr w:type="spellEnd"/>
      <w:proofErr w:type="gramEnd"/>
      <w:r>
        <w:rPr>
          <w:rFonts w:ascii="inherit" w:hAnsi="inherit" w:cs="Arial"/>
          <w:color w:val="000000"/>
        </w:rPr>
        <w:t xml:space="preserve"> рублей.</w:t>
      </w:r>
    </w:p>
    <w:p w:rsidR="00C3407C" w:rsidRDefault="00C3407C" w:rsidP="00C3407C">
      <w:pPr>
        <w:pStyle w:val="a3"/>
        <w:spacing w:before="0" w:beforeAutospacing="0" w:after="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С 2017 года ПФР также временно размещает резерв по обязательному пенсионному страхованию. Доход ПФР по этим средствам составил около 12 </w:t>
      </w:r>
      <w:proofErr w:type="spellStart"/>
      <w:proofErr w:type="gramStart"/>
      <w:r>
        <w:rPr>
          <w:rFonts w:ascii="inherit" w:hAnsi="inherit" w:cs="Arial"/>
          <w:color w:val="000000"/>
        </w:rPr>
        <w:t>млрд</w:t>
      </w:r>
      <w:proofErr w:type="spellEnd"/>
      <w:proofErr w:type="gramEnd"/>
      <w:r>
        <w:rPr>
          <w:rFonts w:ascii="inherit" w:hAnsi="inherit" w:cs="Arial"/>
          <w:color w:val="000000"/>
        </w:rPr>
        <w:t xml:space="preserve"> рублей.</w:t>
      </w:r>
    </w:p>
    <w:p w:rsidR="004C6182" w:rsidRDefault="004C6182"/>
    <w:sectPr w:rsidR="004C6182" w:rsidSect="0008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294D"/>
    <w:multiLevelType w:val="multilevel"/>
    <w:tmpl w:val="10E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0EC8"/>
    <w:rsid w:val="000833DE"/>
    <w:rsid w:val="00116CBC"/>
    <w:rsid w:val="00120EC8"/>
    <w:rsid w:val="00296B29"/>
    <w:rsid w:val="00375332"/>
    <w:rsid w:val="004C0E45"/>
    <w:rsid w:val="004C6182"/>
    <w:rsid w:val="006D787A"/>
    <w:rsid w:val="006F3226"/>
    <w:rsid w:val="0087164D"/>
    <w:rsid w:val="00B3233F"/>
    <w:rsid w:val="00C3407C"/>
    <w:rsid w:val="00D6494E"/>
    <w:rsid w:val="00E00D85"/>
    <w:rsid w:val="00E4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DE"/>
  </w:style>
  <w:style w:type="paragraph" w:styleId="1">
    <w:name w:val="heading 1"/>
    <w:basedOn w:val="a"/>
    <w:link w:val="10"/>
    <w:uiPriority w:val="9"/>
    <w:qFormat/>
    <w:rsid w:val="00120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20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E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20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0EC8"/>
  </w:style>
  <w:style w:type="character" w:styleId="a4">
    <w:name w:val="Strong"/>
    <w:basedOn w:val="a0"/>
    <w:uiPriority w:val="22"/>
    <w:qFormat/>
    <w:rsid w:val="006F3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2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D7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027ButkovaND</cp:lastModifiedBy>
  <cp:revision>12</cp:revision>
  <dcterms:created xsi:type="dcterms:W3CDTF">2019-01-25T03:21:00Z</dcterms:created>
  <dcterms:modified xsi:type="dcterms:W3CDTF">2019-02-18T07:08:00Z</dcterms:modified>
</cp:coreProperties>
</file>