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E2" w:rsidRDefault="00A45AE2" w:rsidP="00A45AE2">
      <w:pPr>
        <w:pStyle w:val="35"/>
        <w:shd w:val="clear" w:color="auto" w:fill="auto"/>
        <w:spacing w:after="0" w:line="240" w:lineRule="auto"/>
        <w:ind w:left="40" w:right="-2"/>
        <w:rPr>
          <w:sz w:val="28"/>
          <w:szCs w:val="28"/>
        </w:rPr>
      </w:pPr>
      <w:r>
        <w:rPr>
          <w:sz w:val="28"/>
          <w:szCs w:val="28"/>
        </w:rPr>
        <w:t>Уваж</w:t>
      </w:r>
      <w:bookmarkStart w:id="0" w:name="_GoBack"/>
      <w:bookmarkEnd w:id="0"/>
      <w:r>
        <w:rPr>
          <w:sz w:val="28"/>
          <w:szCs w:val="28"/>
        </w:rPr>
        <w:t>аемые предприниматели!</w:t>
      </w:r>
    </w:p>
    <w:p w:rsidR="00A45AE2" w:rsidRDefault="00A45AE2" w:rsidP="00A45AE2">
      <w:pPr>
        <w:pStyle w:val="35"/>
        <w:shd w:val="clear" w:color="auto" w:fill="auto"/>
        <w:spacing w:after="0" w:line="240" w:lineRule="auto"/>
        <w:ind w:left="40" w:right="-2"/>
        <w:rPr>
          <w:sz w:val="28"/>
          <w:szCs w:val="28"/>
        </w:rPr>
      </w:pPr>
    </w:p>
    <w:p w:rsidR="00A45AE2" w:rsidRDefault="00A45AE2" w:rsidP="00A45AE2">
      <w:pPr>
        <w:pStyle w:val="35"/>
        <w:shd w:val="clear" w:color="auto" w:fill="auto"/>
        <w:spacing w:after="0" w:line="240" w:lineRule="auto"/>
        <w:ind w:left="40" w:right="-2"/>
        <w:jc w:val="both"/>
        <w:rPr>
          <w:sz w:val="28"/>
          <w:szCs w:val="28"/>
        </w:rPr>
      </w:pPr>
      <w:r>
        <w:t>Департаментом региональной безопасности Ханты-Мансийского автономного округа – Югры, в соответствии с требованиями постановления Правительства Ханты-Мансийского автономного округа - Югры от 24.08.2012 № 296-п «Об отдельных вопросах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Ханты-Мансийском автономном округе - Югре», организован аукцион по выбору юридических лиц и (или) индивидуальных предпринимателей, осуществляющих перемещение задержанных транспортных средств на специализированную стоянку и их хранение на ней в Ханты-Мансийском автономном округе – Югре.</w:t>
      </w:r>
    </w:p>
    <w:p w:rsidR="00A45AE2" w:rsidRDefault="00A45AE2">
      <w:pPr>
        <w:pStyle w:val="35"/>
        <w:shd w:val="clear" w:color="auto" w:fill="auto"/>
        <w:spacing w:after="0" w:line="240" w:lineRule="auto"/>
        <w:ind w:left="40" w:right="-2"/>
        <w:rPr>
          <w:sz w:val="28"/>
          <w:szCs w:val="28"/>
        </w:rPr>
      </w:pPr>
    </w:p>
    <w:p w:rsidR="009F68DF" w:rsidRDefault="00245ABB">
      <w:pPr>
        <w:pStyle w:val="35"/>
        <w:shd w:val="clear" w:color="auto" w:fill="auto"/>
        <w:spacing w:after="0" w:line="240" w:lineRule="auto"/>
        <w:ind w:left="40" w:right="-2"/>
      </w:pPr>
      <w:r>
        <w:rPr>
          <w:sz w:val="28"/>
          <w:szCs w:val="28"/>
        </w:rPr>
        <w:t>ИЗВЕЩЕНИЕ</w:t>
      </w:r>
    </w:p>
    <w:p w:rsidR="009F68DF" w:rsidRDefault="00245ABB">
      <w:pPr>
        <w:spacing w:after="0" w:line="240" w:lineRule="auto"/>
        <w:ind w:right="-2"/>
        <w:jc w:val="center"/>
      </w:pPr>
      <w:r>
        <w:rPr>
          <w:b/>
          <w:bCs/>
          <w:szCs w:val="28"/>
        </w:rPr>
        <w:t>о проведении аукциона по выбору юридических лиц и (или) индивидуальных предпринимателей, осуществляющих перемещение задержанных транспортных средств на специализированную стоянку и их хранение на ней в Ханты-Мансийском автономном округе – Югре</w:t>
      </w:r>
    </w:p>
    <w:p w:rsidR="009F68DF" w:rsidRDefault="009F68DF">
      <w:pPr>
        <w:spacing w:after="0" w:line="240" w:lineRule="auto"/>
        <w:ind w:right="-2"/>
        <w:jc w:val="center"/>
      </w:pPr>
    </w:p>
    <w:p w:rsidR="009F68DF" w:rsidRDefault="009F68DF">
      <w:pPr>
        <w:spacing w:after="0" w:line="240" w:lineRule="auto"/>
        <w:ind w:right="-2"/>
        <w:jc w:val="center"/>
      </w:pP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rStyle w:val="0pt"/>
          <w:color w:val="auto"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Департамент региональной безопасности Ханты-Мансийского автономного округа – Югры.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b/>
          <w:sz w:val="28"/>
          <w:szCs w:val="28"/>
        </w:rPr>
        <w:t xml:space="preserve">Место нахождения и номера телефонов организатора аукциона: </w:t>
      </w:r>
      <w:r>
        <w:rPr>
          <w:sz w:val="28"/>
          <w:szCs w:val="28"/>
        </w:rPr>
        <w:t>628011, г. Ханты-Мансийск, ул. Студенческая, д. 2, кабинет 141 (1 этаж), тел: 8(3467)36-01-55 (доб. 1862, 1867, 1869).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 электронной почты организатора аукциона: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drbhmao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b/>
          <w:bCs/>
          <w:sz w:val="28"/>
          <w:szCs w:val="28"/>
        </w:rPr>
        <w:t>Дни и часы работы: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понедельник - четверг с 09 часов 00 мин. до 18 часов 15 мин.;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пятница: с 09 часов 00 мин. до 17 часов 00 мин.;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обеденный перерыв: с 13 часов 00 мин. до 14 часов 00 мин.;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суббота, воскресенье - выходные дни.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b/>
          <w:bCs/>
          <w:sz w:val="28"/>
          <w:szCs w:val="28"/>
        </w:rPr>
        <w:t>Предмет аукциона:</w:t>
      </w:r>
      <w:r>
        <w:rPr>
          <w:sz w:val="28"/>
          <w:szCs w:val="28"/>
        </w:rPr>
        <w:t xml:space="preserve"> выбор исполнителя услуг по перемещению задержанных транспортных средств на специализированную стоянку и их хранению на ней на территориях муниципальных районов, городских округов Ханты-Мансийского автономного округа – Югры.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Аукцион проводится путем понижения начальной (максимальной) цены предмета аукциона (базовых уровней тарифов) на «шаг аукциона».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«Шаг аукциона» устанавливается в размере одного процента начальной (максимальной) цены предмета аукциона.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Аукцион является открытым по составу участников.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Информация о лотах аукциона, минимальном количестве мест для стоянки транспортных средств и минимальном количестве специализированных транспортных средств – эвакуаторов </w:t>
      </w:r>
      <w:r>
        <w:rPr>
          <w:sz w:val="28"/>
          <w:szCs w:val="28"/>
          <w:highlight w:val="white"/>
        </w:rPr>
        <w:t>приведены в Приложении № 1 к извещению о проведении аукциона.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заявителям </w:t>
      </w:r>
      <w:r>
        <w:rPr>
          <w:sz w:val="28"/>
          <w:szCs w:val="28"/>
        </w:rPr>
        <w:t xml:space="preserve">(участникам аукциона), </w:t>
      </w:r>
      <w:r>
        <w:rPr>
          <w:sz w:val="28"/>
          <w:szCs w:val="28"/>
        </w:rPr>
        <w:lastRenderedPageBreak/>
        <w:t>претендующим на участие в аукционе и к специализированным стоянкам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приведены в Приложении № 2 к извещению о проведении аукциона.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b/>
          <w:bCs/>
          <w:sz w:val="28"/>
          <w:szCs w:val="28"/>
        </w:rPr>
        <w:t>Базовые уровни тарифов</w:t>
      </w:r>
      <w:r>
        <w:rPr>
          <w:sz w:val="28"/>
          <w:szCs w:val="28"/>
        </w:rPr>
        <w:t xml:space="preserve"> приведены в Приложении № 3 </w:t>
      </w:r>
      <w:r>
        <w:rPr>
          <w:sz w:val="28"/>
          <w:szCs w:val="28"/>
        </w:rPr>
        <w:br/>
        <w:t>к извещению о проведении аукциона.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Адрес места приема заявок на участие в аукционе и прилагаемых к ним документов: 628011, г. Ханты-Мансийск, ул. Студенческая, д. 2, кабинет 141 (1 этаж), тел: 8(3467)36-01-55 (доб. 1862, 1867, 1869):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понедельник - четверг с 09 часов 00 мин. до 18 часов 15 мин.;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>пятница: с 09 часов 00 мин. до 17 часов 15 мин.;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</w:pPr>
      <w:r>
        <w:rPr>
          <w:sz w:val="28"/>
          <w:szCs w:val="28"/>
        </w:rPr>
        <w:t>обеденный перерыв: с 13 часов 00 мин. до 14 часов 00 мин.</w:t>
      </w:r>
    </w:p>
    <w:p w:rsidR="009F68DF" w:rsidRDefault="00245ABB">
      <w:pPr>
        <w:pStyle w:val="35"/>
        <w:shd w:val="clear" w:color="auto" w:fill="auto"/>
        <w:spacing w:after="0" w:line="240" w:lineRule="auto"/>
        <w:ind w:left="20" w:right="-2" w:firstLine="689"/>
        <w:jc w:val="both"/>
      </w:pPr>
      <w:r>
        <w:rPr>
          <w:sz w:val="28"/>
          <w:szCs w:val="28"/>
        </w:rPr>
        <w:t>Дата, время начала и окончания срока подачи заявок:</w:t>
      </w:r>
    </w:p>
    <w:p w:rsidR="009F68DF" w:rsidRPr="00A45AE2" w:rsidRDefault="00245ABB">
      <w:pPr>
        <w:pStyle w:val="33"/>
        <w:shd w:val="clear" w:color="auto" w:fill="auto"/>
        <w:tabs>
          <w:tab w:val="center" w:pos="4535"/>
        </w:tabs>
        <w:spacing w:before="0" w:after="0" w:line="240" w:lineRule="auto"/>
        <w:ind w:left="20" w:right="-2" w:firstLine="689"/>
        <w:jc w:val="both"/>
        <w:rPr>
          <w:b/>
          <w:sz w:val="28"/>
          <w:szCs w:val="28"/>
          <w:highlight w:val="white"/>
        </w:rPr>
      </w:pPr>
      <w:r w:rsidRPr="00A45AE2">
        <w:rPr>
          <w:b/>
          <w:sz w:val="28"/>
          <w:szCs w:val="28"/>
          <w:highlight w:val="white"/>
        </w:rPr>
        <w:t xml:space="preserve">с 09 час. 00 мин. 02 февраля 2024 года до 18 час. 15 мин. </w:t>
      </w:r>
      <w:r w:rsidRPr="00A45AE2">
        <w:rPr>
          <w:b/>
          <w:sz w:val="28"/>
          <w:szCs w:val="28"/>
          <w:highlight w:val="white"/>
        </w:rPr>
        <w:br/>
        <w:t>20 февраля 2024 года.</w:t>
      </w:r>
    </w:p>
    <w:p w:rsidR="009F68DF" w:rsidRDefault="00245ABB">
      <w:pPr>
        <w:pStyle w:val="33"/>
        <w:shd w:val="clear" w:color="auto" w:fill="auto"/>
        <w:tabs>
          <w:tab w:val="center" w:pos="4535"/>
        </w:tabs>
        <w:spacing w:before="0" w:after="0" w:line="240" w:lineRule="auto"/>
        <w:ind w:left="20" w:right="-2" w:firstLine="68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вскрытия конвертов с заявками:</w:t>
      </w:r>
    </w:p>
    <w:p w:rsidR="009F68DF" w:rsidRDefault="00245ABB">
      <w:pPr>
        <w:pStyle w:val="33"/>
        <w:shd w:val="clear" w:color="auto" w:fill="auto"/>
        <w:tabs>
          <w:tab w:val="center" w:pos="4535"/>
        </w:tabs>
        <w:spacing w:before="0" w:after="0" w:line="240" w:lineRule="auto"/>
        <w:ind w:left="20" w:right="-2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Вскрытие конвертов с заявками будет осуществляться </w:t>
      </w:r>
      <w:r>
        <w:rPr>
          <w:sz w:val="28"/>
          <w:szCs w:val="28"/>
        </w:rPr>
        <w:br/>
        <w:t xml:space="preserve">22 февраля 2024 года в 14 час. 00 мин. по адресу: 628011, </w:t>
      </w:r>
      <w:r>
        <w:rPr>
          <w:sz w:val="28"/>
          <w:szCs w:val="28"/>
        </w:rPr>
        <w:br/>
        <w:t>г. Ханты-Мансийск, ул. Студенческая, д. 2, кабинет 141 (1 этаж).</w:t>
      </w:r>
    </w:p>
    <w:p w:rsidR="009F68DF" w:rsidRDefault="00245ABB">
      <w:pPr>
        <w:pStyle w:val="33"/>
        <w:shd w:val="clear" w:color="auto" w:fill="auto"/>
        <w:tabs>
          <w:tab w:val="left" w:pos="1208"/>
        </w:tabs>
        <w:spacing w:before="0" w:after="0" w:line="240" w:lineRule="auto"/>
        <w:ind w:left="20" w:right="-2" w:firstLine="68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Дата, время, место проведения ау</w:t>
      </w:r>
      <w:r>
        <w:rPr>
          <w:b/>
          <w:bCs/>
          <w:sz w:val="28"/>
          <w:szCs w:val="28"/>
        </w:rPr>
        <w:t>кциона, ознакомление с аукционной документацией:</w:t>
      </w:r>
    </w:p>
    <w:p w:rsidR="009F68DF" w:rsidRPr="00A45AE2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  <w:rPr>
          <w:b/>
        </w:rPr>
      </w:pPr>
      <w:r w:rsidRPr="00A45AE2">
        <w:rPr>
          <w:b/>
          <w:sz w:val="28"/>
          <w:szCs w:val="28"/>
        </w:rPr>
        <w:t xml:space="preserve">Аукцион состоится в 14 час. 00 мин. 05 марта 2024 года по адресу: 628011, г. Ханты-Мансийск, </w:t>
      </w:r>
      <w:proofErr w:type="spellStart"/>
      <w:r w:rsidRPr="00A45AE2">
        <w:rPr>
          <w:b/>
          <w:sz w:val="28"/>
          <w:szCs w:val="28"/>
        </w:rPr>
        <w:t>ул.Студенческая</w:t>
      </w:r>
      <w:proofErr w:type="spellEnd"/>
      <w:r w:rsidRPr="00A45AE2">
        <w:rPr>
          <w:b/>
          <w:sz w:val="28"/>
          <w:szCs w:val="28"/>
        </w:rPr>
        <w:t xml:space="preserve">, д. 2, </w:t>
      </w:r>
      <w:proofErr w:type="spellStart"/>
      <w:r w:rsidRPr="00A45AE2">
        <w:rPr>
          <w:b/>
          <w:sz w:val="28"/>
          <w:szCs w:val="28"/>
        </w:rPr>
        <w:t>каб</w:t>
      </w:r>
      <w:proofErr w:type="spellEnd"/>
      <w:r w:rsidRPr="00A45AE2">
        <w:rPr>
          <w:b/>
          <w:sz w:val="28"/>
          <w:szCs w:val="28"/>
        </w:rPr>
        <w:t>. 141 (1 этаж).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white"/>
        </w:rPr>
        <w:t>Ознакомление с аукционной документацией осуществляется на официальном сайте организатора аукциона в информационно-телекоммуникационной сети Интернет –</w:t>
      </w:r>
      <w:r w:rsidRPr="00037E32">
        <w:rPr>
          <w:sz w:val="28"/>
          <w:szCs w:val="28"/>
          <w:highlight w:val="white"/>
        </w:rPr>
        <w:t xml:space="preserve"> </w:t>
      </w:r>
      <w:hyperlink r:id="rId11" w:tooltip="https://deprb.admhmao.ru/auktsiony/." w:history="1">
        <w:r>
          <w:rPr>
            <w:rStyle w:val="af3"/>
            <w:sz w:val="28"/>
            <w:szCs w:val="28"/>
            <w:highlight w:val="white"/>
            <w:lang w:val="en-US"/>
          </w:rPr>
          <w:t>https</w:t>
        </w:r>
        <w:r w:rsidRPr="00037E32">
          <w:rPr>
            <w:rStyle w:val="af3"/>
            <w:sz w:val="28"/>
            <w:szCs w:val="28"/>
            <w:highlight w:val="white"/>
          </w:rPr>
          <w:t>://</w:t>
        </w:r>
        <w:proofErr w:type="spellStart"/>
        <w:r>
          <w:rPr>
            <w:rStyle w:val="af3"/>
            <w:sz w:val="28"/>
            <w:szCs w:val="28"/>
            <w:highlight w:val="white"/>
            <w:lang w:val="en-US"/>
          </w:rPr>
          <w:t>deprb</w:t>
        </w:r>
        <w:proofErr w:type="spellEnd"/>
        <w:r w:rsidRPr="00037E32">
          <w:rPr>
            <w:rStyle w:val="af3"/>
            <w:sz w:val="28"/>
            <w:szCs w:val="28"/>
            <w:highlight w:val="white"/>
          </w:rPr>
          <w:t>.</w:t>
        </w:r>
        <w:proofErr w:type="spellStart"/>
        <w:r>
          <w:rPr>
            <w:rStyle w:val="af3"/>
            <w:sz w:val="28"/>
            <w:szCs w:val="28"/>
            <w:highlight w:val="white"/>
            <w:lang w:val="en-US"/>
          </w:rPr>
          <w:t>admhmao</w:t>
        </w:r>
        <w:proofErr w:type="spellEnd"/>
        <w:r w:rsidRPr="00037E32">
          <w:rPr>
            <w:rStyle w:val="af3"/>
            <w:sz w:val="28"/>
            <w:szCs w:val="28"/>
            <w:highlight w:val="white"/>
          </w:rPr>
          <w:t>.</w:t>
        </w:r>
        <w:proofErr w:type="spellStart"/>
        <w:r>
          <w:rPr>
            <w:rStyle w:val="af3"/>
            <w:sz w:val="28"/>
            <w:szCs w:val="28"/>
            <w:highlight w:val="white"/>
            <w:lang w:val="en-US"/>
          </w:rPr>
          <w:t>ru</w:t>
        </w:r>
        <w:proofErr w:type="spellEnd"/>
        <w:r w:rsidRPr="00037E32">
          <w:rPr>
            <w:rStyle w:val="af3"/>
            <w:sz w:val="28"/>
            <w:szCs w:val="28"/>
            <w:highlight w:val="white"/>
          </w:rPr>
          <w:t>/</w:t>
        </w:r>
        <w:proofErr w:type="spellStart"/>
        <w:r>
          <w:rPr>
            <w:rStyle w:val="af3"/>
            <w:sz w:val="28"/>
            <w:szCs w:val="28"/>
            <w:highlight w:val="white"/>
            <w:lang w:val="en-US"/>
          </w:rPr>
          <w:t>auktsiony</w:t>
        </w:r>
        <w:proofErr w:type="spellEnd"/>
        <w:r w:rsidRPr="00037E32">
          <w:rPr>
            <w:rStyle w:val="af3"/>
            <w:sz w:val="28"/>
            <w:szCs w:val="28"/>
            <w:highlight w:val="white"/>
          </w:rPr>
          <w:t>/</w:t>
        </w:r>
        <w:r>
          <w:rPr>
            <w:rStyle w:val="af3"/>
            <w:color w:val="000000" w:themeColor="text1"/>
            <w:sz w:val="28"/>
            <w:szCs w:val="28"/>
            <w:highlight w:val="white"/>
          </w:rPr>
          <w:t>.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По</w:t>
      </w:r>
      <w:r>
        <w:rPr>
          <w:color w:val="000000" w:themeColor="text1"/>
          <w:sz w:val="28"/>
          <w:szCs w:val="28"/>
        </w:rPr>
        <w:t>дав заявку на аукционе лицо подтверждает факт ознакомления с аукционной документацией.</w:t>
      </w:r>
    </w:p>
    <w:p w:rsidR="009F68DF" w:rsidRDefault="00245ABB">
      <w:pPr>
        <w:pStyle w:val="33"/>
        <w:shd w:val="clear" w:color="auto" w:fill="auto"/>
        <w:spacing w:before="0" w:after="0" w:line="240" w:lineRule="auto"/>
        <w:ind w:left="20" w:right="-2" w:firstLine="689"/>
        <w:jc w:val="both"/>
      </w:pPr>
      <w:r>
        <w:rPr>
          <w:sz w:val="28"/>
          <w:szCs w:val="28"/>
        </w:rPr>
        <w:t xml:space="preserve">Итоги аукциона оформляются аукционной комиссией в срок </w:t>
      </w:r>
      <w:r>
        <w:rPr>
          <w:sz w:val="28"/>
          <w:szCs w:val="28"/>
        </w:rPr>
        <w:br/>
        <w:t>не позднее 08 марта 2024 года путем составления протокола аукциона, который подписывается всеми присутствующими членами аукционной комиссии.</w:t>
      </w: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  <w:sectPr w:rsidR="009F68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40"/>
          <w:pgMar w:top="1417" w:right="1276" w:bottom="1134" w:left="1559" w:header="709" w:footer="709" w:gutter="0"/>
          <w:cols w:space="720"/>
          <w:titlePg/>
          <w:docGrid w:linePitch="360"/>
        </w:sectPr>
      </w:pP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извещению о проведении аукциона</w:t>
      </w: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spacing w:after="0" w:line="240" w:lineRule="auto"/>
        <w:rPr>
          <w:rFonts w:cs="Times New Roman"/>
          <w:sz w:val="24"/>
          <w:szCs w:val="24"/>
        </w:rPr>
      </w:pPr>
    </w:p>
    <w:p w:rsidR="009F68DF" w:rsidRDefault="00245ABB">
      <w:pPr>
        <w:pStyle w:val="2a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Предметы лотов аукциона, минимальное количество специализированных транспортных средств – эвакуаторов, минимальное количество мест для размещения и хранения транспортных средств </w:t>
      </w:r>
    </w:p>
    <w:p w:rsidR="009F68DF" w:rsidRDefault="009F68DF">
      <w:pPr>
        <w:pStyle w:val="2a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F68DF" w:rsidRDefault="009F68DF">
      <w:pPr>
        <w:pStyle w:val="2a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ff0"/>
        <w:tblW w:w="140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93"/>
        <w:gridCol w:w="4451"/>
        <w:gridCol w:w="2494"/>
        <w:gridCol w:w="2976"/>
        <w:gridCol w:w="2693"/>
      </w:tblGrid>
      <w:tr w:rsidR="009F68DF">
        <w:trPr>
          <w:trHeight w:val="1470"/>
        </w:trPr>
        <w:tc>
          <w:tcPr>
            <w:tcW w:w="1393" w:type="dxa"/>
          </w:tcPr>
          <w:p w:rsidR="009F68DF" w:rsidRDefault="00245ABB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0pt"/>
                <w:color w:val="000000" w:themeColor="text1"/>
                <w:sz w:val="24"/>
                <w:szCs w:val="24"/>
                <w:highlight w:val="white"/>
              </w:rPr>
              <w:t>Номер лота аукциона</w:t>
            </w:r>
          </w:p>
        </w:tc>
        <w:tc>
          <w:tcPr>
            <w:tcW w:w="4451" w:type="dxa"/>
          </w:tcPr>
          <w:p w:rsidR="009F68DF" w:rsidRDefault="00245ABB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0pt"/>
                <w:color w:val="000000" w:themeColor="text1"/>
                <w:sz w:val="24"/>
                <w:szCs w:val="24"/>
                <w:highlight w:val="white"/>
              </w:rPr>
              <w:t>Предмет лота аукциона</w:t>
            </w:r>
          </w:p>
        </w:tc>
        <w:tc>
          <w:tcPr>
            <w:tcW w:w="2494" w:type="dxa"/>
          </w:tcPr>
          <w:p w:rsidR="009F68DF" w:rsidRDefault="00245ABB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0pt"/>
                <w:color w:val="000000" w:themeColor="text1"/>
                <w:sz w:val="24"/>
                <w:szCs w:val="24"/>
                <w:highlight w:val="white"/>
              </w:rPr>
              <w:t>Наименование муниципального образования ХМАО</w:t>
            </w:r>
          </w:p>
        </w:tc>
        <w:tc>
          <w:tcPr>
            <w:tcW w:w="2976" w:type="dxa"/>
          </w:tcPr>
          <w:p w:rsidR="009F68DF" w:rsidRDefault="00245ABB">
            <w:pPr>
              <w:pStyle w:val="2a"/>
              <w:jc w:val="center"/>
              <w:rPr>
                <w:rStyle w:val="0pt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0pt"/>
                <w:color w:val="000000" w:themeColor="text1"/>
                <w:sz w:val="24"/>
                <w:szCs w:val="24"/>
                <w:highlight w:val="white"/>
              </w:rPr>
              <w:t xml:space="preserve">Минимальное количество специализированных транспортных средств – эвакуаторов </w:t>
            </w:r>
          </w:p>
        </w:tc>
        <w:tc>
          <w:tcPr>
            <w:tcW w:w="2693" w:type="dxa"/>
          </w:tcPr>
          <w:p w:rsidR="009F68DF" w:rsidRDefault="00245ABB">
            <w:pPr>
              <w:pStyle w:val="2a"/>
              <w:jc w:val="center"/>
              <w:rPr>
                <w:rStyle w:val="0pt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0pt"/>
                <w:color w:val="000000" w:themeColor="text1"/>
                <w:sz w:val="24"/>
                <w:szCs w:val="24"/>
                <w:highlight w:val="white"/>
              </w:rPr>
              <w:t xml:space="preserve">Минимальное количество мест для размещения и хранения транспортных средств </w:t>
            </w:r>
          </w:p>
        </w:tc>
      </w:tr>
      <w:tr w:rsidR="009F68DF">
        <w:trPr>
          <w:trHeight w:val="1984"/>
        </w:trPr>
        <w:tc>
          <w:tcPr>
            <w:tcW w:w="1393" w:type="dxa"/>
          </w:tcPr>
          <w:p w:rsidR="009F68DF" w:rsidRDefault="00037E32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451" w:type="dxa"/>
          </w:tcPr>
          <w:p w:rsidR="009F68DF" w:rsidRDefault="00245ABB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Style w:val="2b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>Выбор исполнителя услуг и определение тарифа на перемещение задержанных наземных транспортных средств на территории городского округа (муниципального района) Ханты-Мансийского автономного округа – Югры</w:t>
            </w:r>
          </w:p>
        </w:tc>
        <w:tc>
          <w:tcPr>
            <w:tcW w:w="2494" w:type="dxa"/>
          </w:tcPr>
          <w:p w:rsidR="009F68DF" w:rsidRDefault="00245ABB">
            <w:pPr>
              <w:pStyle w:val="2a"/>
              <w:shd w:val="clear" w:color="auto" w:fill="auto"/>
              <w:spacing w:line="240" w:lineRule="auto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>Березовский район</w:t>
            </w:r>
          </w:p>
        </w:tc>
        <w:tc>
          <w:tcPr>
            <w:tcW w:w="2976" w:type="dxa"/>
          </w:tcPr>
          <w:p w:rsidR="009F68DF" w:rsidRDefault="00245ABB">
            <w:pPr>
              <w:pStyle w:val="2a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693" w:type="dxa"/>
          </w:tcPr>
          <w:p w:rsidR="009F68DF" w:rsidRDefault="00245ABB">
            <w:pPr>
              <w:pStyle w:val="2a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>25</w:t>
            </w:r>
          </w:p>
        </w:tc>
      </w:tr>
    </w:tbl>
    <w:p w:rsidR="009F68DF" w:rsidRDefault="009F68DF">
      <w:pPr>
        <w:pStyle w:val="2a"/>
        <w:shd w:val="clear" w:color="auto" w:fill="auto"/>
        <w:tabs>
          <w:tab w:val="left" w:pos="405"/>
        </w:tabs>
        <w:spacing w:line="240" w:lineRule="auto"/>
        <w:rPr>
          <w:sz w:val="24"/>
          <w:szCs w:val="24"/>
          <w:highlight w:val="white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highlight w:val="white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4"/>
          <w:szCs w:val="24"/>
        </w:rPr>
        <w:sectPr w:rsidR="009F68DF">
          <w:type w:val="continuous"/>
          <w:pgSz w:w="16840" w:h="11909" w:orient="landscape"/>
          <w:pgMar w:top="1559" w:right="1417" w:bottom="1276" w:left="1134" w:header="709" w:footer="709" w:gutter="0"/>
          <w:cols w:space="720"/>
          <w:docGrid w:linePitch="360"/>
        </w:sectPr>
      </w:pP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извещению о проведении аукциона</w:t>
      </w:r>
    </w:p>
    <w:p w:rsidR="009F68DF" w:rsidRDefault="009F68DF">
      <w:pPr>
        <w:pStyle w:val="28"/>
        <w:shd w:val="clear" w:color="auto" w:fill="auto"/>
        <w:tabs>
          <w:tab w:val="left" w:pos="-142"/>
        </w:tabs>
        <w:spacing w:before="0" w:line="240" w:lineRule="auto"/>
        <w:ind w:right="-2"/>
        <w:rPr>
          <w:sz w:val="28"/>
          <w:szCs w:val="28"/>
        </w:rPr>
      </w:pPr>
    </w:p>
    <w:p w:rsidR="009F68DF" w:rsidRDefault="00245ABB">
      <w:pPr>
        <w:pStyle w:val="28"/>
        <w:shd w:val="clear" w:color="auto" w:fill="auto"/>
        <w:tabs>
          <w:tab w:val="left" w:pos="-142"/>
        </w:tabs>
        <w:spacing w:before="0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Требования к заявителям, претендующим </w:t>
      </w:r>
    </w:p>
    <w:p w:rsidR="009F68DF" w:rsidRDefault="00245ABB">
      <w:pPr>
        <w:pStyle w:val="28"/>
        <w:shd w:val="clear" w:color="auto" w:fill="auto"/>
        <w:tabs>
          <w:tab w:val="left" w:pos="-142"/>
        </w:tabs>
        <w:spacing w:before="0" w:line="24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на участие в аукционе и к специализированным стоянкам</w:t>
      </w:r>
    </w:p>
    <w:p w:rsidR="009F68DF" w:rsidRDefault="009F68DF">
      <w:pPr>
        <w:spacing w:after="0" w:line="240" w:lineRule="auto"/>
        <w:ind w:right="-2"/>
        <w:rPr>
          <w:szCs w:val="28"/>
        </w:rPr>
      </w:pPr>
    </w:p>
    <w:p w:rsidR="009F68DF" w:rsidRDefault="00245ABB">
      <w:pPr>
        <w:pStyle w:val="3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Заявку на участие в аукционе может подать любое юридическое лицо независимо от организационно-правовой формы, формы собственности, места нахождения или индивидуальный предприниматель.</w:t>
      </w:r>
    </w:p>
    <w:p w:rsidR="009F68DF" w:rsidRDefault="00245ABB">
      <w:pPr>
        <w:pStyle w:val="33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Заявители, планирующие осуществлять деятельность </w:t>
      </w:r>
      <w:r>
        <w:rPr>
          <w:color w:val="000000" w:themeColor="text1"/>
          <w:sz w:val="28"/>
          <w:szCs w:val="28"/>
        </w:rPr>
        <w:br/>
        <w:t>по перемещению на специализированную стоянку задержанных наземных транспортных средств и их хранению на ней, должны соответствовать следующим требованиям:</w:t>
      </w:r>
    </w:p>
    <w:p w:rsidR="009F68DF" w:rsidRDefault="00245ABB">
      <w:pPr>
        <w:pStyle w:val="33"/>
        <w:shd w:val="clear" w:color="auto" w:fill="auto"/>
        <w:tabs>
          <w:tab w:val="left" w:pos="1134"/>
          <w:tab w:val="left" w:pos="1134"/>
        </w:tabs>
        <w:spacing w:before="0" w:after="0" w:line="24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владеть на праве собственности или ином праве, срок действия которого не менее предполагаемого срока действия договора, земельным участком, находящимся в границах территориальной доступности (территориальная доступность земельного участка определяется как нахождение данного земельного участка на территории соответствующего городского округа автономного округа или муниципального района автономного округа), определенных аукционной документацией, а также с разрешенным использованием, позволяющим организовать на данном участке специализированную стоянку в соответствии с требованиями к ней, установленными настоящим пунктом и аукционной документацией, и разместить задержанные транспортные средства.</w:t>
      </w:r>
    </w:p>
    <w:p w:rsidR="009F68DF" w:rsidRDefault="00245ABB">
      <w:pPr>
        <w:pStyle w:val="33"/>
        <w:shd w:val="clear" w:color="auto" w:fill="auto"/>
        <w:tabs>
          <w:tab w:val="left" w:pos="1134"/>
          <w:tab w:val="left" w:pos="1134"/>
        </w:tabs>
        <w:spacing w:before="0" w:after="0" w:line="24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владеть на праве собственности или ином праве специализированными транспортными средствами – эвакуаторами </w:t>
      </w:r>
      <w:r>
        <w:rPr>
          <w:color w:val="000000" w:themeColor="text1"/>
          <w:sz w:val="28"/>
          <w:szCs w:val="28"/>
        </w:rPr>
        <w:br/>
        <w:t xml:space="preserve">или иными наземными транспортными средствами, оборудованными для частичной или полной погрузки либо жесткой сцепки </w:t>
      </w:r>
      <w:r>
        <w:rPr>
          <w:color w:val="000000" w:themeColor="text1"/>
          <w:sz w:val="28"/>
          <w:szCs w:val="28"/>
        </w:rPr>
        <w:br/>
        <w:t xml:space="preserve">(для городских округов), предназначенных для перемещения транспортных средств на специализированную стоянку в количестве </w:t>
      </w:r>
      <w:r>
        <w:rPr>
          <w:color w:val="000000" w:themeColor="text1"/>
          <w:sz w:val="28"/>
          <w:szCs w:val="28"/>
        </w:rPr>
        <w:br/>
        <w:t>не менее указанного в Приложении № 1.</w:t>
      </w:r>
    </w:p>
    <w:p w:rsidR="009F68DF" w:rsidRDefault="00245ABB">
      <w:pPr>
        <w:pStyle w:val="33"/>
        <w:shd w:val="clear" w:color="auto" w:fill="auto"/>
        <w:tabs>
          <w:tab w:val="left" w:pos="1134"/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Деятельность заявителя на дату подачи заявки не дол</w:t>
      </w:r>
      <w:r>
        <w:rPr>
          <w:sz w:val="28"/>
          <w:szCs w:val="28"/>
        </w:rPr>
        <w:t>жна быть приостановлена в порядке, предусмотренном законодательством Российской Федерации.</w:t>
      </w:r>
    </w:p>
    <w:p w:rsidR="009F68DF" w:rsidRDefault="00245ABB">
      <w:pPr>
        <w:pStyle w:val="33"/>
        <w:shd w:val="clear" w:color="auto" w:fill="auto"/>
        <w:tabs>
          <w:tab w:val="left" w:pos="1276"/>
          <w:tab w:val="left" w:pos="1276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отношении заявителя на дату подачи заявки не должна быть начата процедура ликвидации (банкротства), прекращения физическим лицом деятельности в качестве индивидуального предпринимателя либо не должно быть возбуждено Арбитражным судом дело о признании банкротом.</w:t>
      </w:r>
    </w:p>
    <w:p w:rsidR="009F68DF" w:rsidRDefault="00245ABB">
      <w:pPr>
        <w:pStyle w:val="33"/>
        <w:shd w:val="clear" w:color="auto" w:fill="auto"/>
        <w:tabs>
          <w:tab w:val="left" w:pos="1276"/>
          <w:tab w:val="left" w:pos="1276"/>
        </w:tabs>
        <w:spacing w:before="0" w:after="0" w:line="240" w:lineRule="auto"/>
        <w:ind w:right="-2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5. Заявитель на дату подачи заявки не должен иметь </w:t>
      </w:r>
      <w:r>
        <w:rPr>
          <w:sz w:val="28"/>
          <w:szCs w:val="28"/>
          <w:lang w:eastAsia="ru-RU"/>
        </w:rPr>
        <w:t xml:space="preserve">неисполненную обязанность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lastRenderedPageBreak/>
        <w:t>в соответствии с законодательством Российской Федерации о налогах и сборах</w:t>
      </w:r>
      <w:r>
        <w:rPr>
          <w:color w:val="000000" w:themeColor="text1"/>
          <w:sz w:val="28"/>
          <w:szCs w:val="28"/>
          <w:lang w:eastAsia="ru-RU"/>
        </w:rPr>
        <w:t xml:space="preserve">. 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Местонахождение специализированной стоянки в границах территорий соответствующего городского округа автономного округа или муниципального района автономного округа, определенных </w:t>
      </w:r>
      <w:r>
        <w:rPr>
          <w:sz w:val="28"/>
          <w:szCs w:val="28"/>
        </w:rPr>
        <w:t xml:space="preserve">организатором аукциона. </w:t>
      </w:r>
    </w:p>
    <w:p w:rsidR="009F68DF" w:rsidRDefault="00245ABB">
      <w:pPr>
        <w:pStyle w:val="3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Возможность размещения и хранения транспортных средств (мест для стоянки транспортных средств) в количестве не менее указанного в Приложении № 1.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Наличие ограждения, препятствующего проникновению </w:t>
      </w:r>
      <w:r>
        <w:rPr>
          <w:sz w:val="28"/>
          <w:szCs w:val="28"/>
        </w:rPr>
        <w:br/>
        <w:t>на территорию специализированной стоянки посторонних лиц.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Наличие искусственного освещения.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Наличие зданий и сооружений, предназначенных </w:t>
      </w:r>
      <w:r>
        <w:rPr>
          <w:sz w:val="28"/>
          <w:szCs w:val="28"/>
        </w:rPr>
        <w:br/>
        <w:t>для размещения обслуживающего персонала, оформления документов.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Наличие вывески или информационного щита с указанием наименования юридического лица, фамилии, имени, отчества </w:t>
      </w:r>
      <w:r>
        <w:rPr>
          <w:sz w:val="28"/>
          <w:szCs w:val="28"/>
        </w:rPr>
        <w:br/>
        <w:t>(при наличии) индивидуального предпринимателя, осуществляющего хранение, контактного телефона и местонахождения специализированной стоянки.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Наличие персонала, обеспечивающего в круглосуточном режиме работы прием, учет, охрану и возврат задержанных наземных транспортных средств, предоставление владельцам перемещенных транспортных средств возможности вносить плату за услуги </w:t>
      </w:r>
      <w:r>
        <w:rPr>
          <w:sz w:val="28"/>
          <w:szCs w:val="28"/>
        </w:rPr>
        <w:br/>
        <w:t>по перемещению и (или) хранению транспортных средств путем наличного и безналичного расчета.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Наличие круглосуточной охраны.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Наличие платежного терминала и (или) кассового аппарата.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Соответствие требованиям законодательства Российской Федерации в области обращения с отходами; </w:t>
      </w:r>
    </w:p>
    <w:p w:rsidR="009F68DF" w:rsidRDefault="00245ABB">
      <w:pPr>
        <w:pStyle w:val="33"/>
        <w:shd w:val="clear" w:color="auto" w:fill="auto"/>
        <w:tabs>
          <w:tab w:val="left" w:pos="1134"/>
        </w:tabs>
        <w:spacing w:before="0"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Наличие постоянной телефонной связи с органами внутренних дел, медицинскими организациями.</w:t>
      </w: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9F68DF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F68DF" w:rsidRDefault="00245ABB">
      <w:pPr>
        <w:pStyle w:val="3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извещению о проведении аукциона</w:t>
      </w:r>
    </w:p>
    <w:p w:rsidR="009F68DF" w:rsidRDefault="009F68DF">
      <w:pPr>
        <w:pStyle w:val="33"/>
        <w:shd w:val="clear" w:color="auto" w:fill="auto"/>
        <w:spacing w:before="0" w:after="0" w:line="240" w:lineRule="auto"/>
        <w:ind w:left="5080" w:right="-2"/>
        <w:jc w:val="right"/>
        <w:rPr>
          <w:sz w:val="28"/>
          <w:szCs w:val="28"/>
        </w:rPr>
      </w:pPr>
    </w:p>
    <w:tbl>
      <w:tblPr>
        <w:tblStyle w:val="aff0"/>
        <w:tblpPr w:leftFromText="181" w:rightFromText="181" w:vertAnchor="page" w:horzAnchor="page" w:tblpX="1455" w:tblpY="4223"/>
        <w:tblW w:w="9003" w:type="dxa"/>
        <w:tblLayout w:type="fixed"/>
        <w:tblLook w:val="04A0" w:firstRow="1" w:lastRow="0" w:firstColumn="1" w:lastColumn="0" w:noHBand="0" w:noVBand="1"/>
      </w:tblPr>
      <w:tblGrid>
        <w:gridCol w:w="675"/>
        <w:gridCol w:w="4501"/>
        <w:gridCol w:w="1701"/>
        <w:gridCol w:w="2126"/>
      </w:tblGrid>
      <w:tr w:rsidR="009F68DF">
        <w:trPr>
          <w:trHeight w:val="320"/>
        </w:trPr>
        <w:tc>
          <w:tcPr>
            <w:tcW w:w="675" w:type="dxa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</w:t>
            </w:r>
          </w:p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4502" w:type="dxa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Базовый уровень тарифов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Перемещение одного задержанного транспортного средства на специализированную стоянку в границах одного населенного пункта: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>
              <w:rPr>
                <w:b w:val="0"/>
                <w:bCs w:val="0"/>
                <w:sz w:val="28"/>
                <w:szCs w:val="28"/>
              </w:rPr>
              <w:t xml:space="preserve"> (массой до 3,5 тонны)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3320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1.2.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(массой более 3,5 тонны),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BE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DE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CE</w:t>
            </w:r>
            <w:r>
              <w:rPr>
                <w:b w:val="0"/>
                <w:bCs w:val="0"/>
                <w:sz w:val="28"/>
                <w:szCs w:val="28"/>
              </w:rPr>
              <w:t>, крупногабаритное транспортное средство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7140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Перемещение одного задержанного транспортного средства за 1 километр пробега от места задержания до границы 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>
              <w:rPr>
                <w:b w:val="0"/>
                <w:bCs w:val="0"/>
                <w:sz w:val="28"/>
                <w:szCs w:val="28"/>
              </w:rPr>
              <w:t xml:space="preserve"> (массой до 3,5 тонны)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рублей/км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136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2.2.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(массой более 3,5 тонны),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BE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DE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CE</w:t>
            </w:r>
            <w:r>
              <w:rPr>
                <w:b w:val="0"/>
                <w:bCs w:val="0"/>
                <w:sz w:val="28"/>
                <w:szCs w:val="28"/>
              </w:rPr>
              <w:t>, крупногабаритное транспортное средство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рублей/км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293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Хранение задержанного транспортного средства на специализированной стоянке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68DF" w:rsidRDefault="009F68DF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3.1.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рублей/час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33,5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</w:t>
            </w:r>
            <w:r>
              <w:rPr>
                <w:b w:val="0"/>
                <w:bCs w:val="0"/>
                <w:sz w:val="28"/>
                <w:szCs w:val="28"/>
              </w:rPr>
              <w:t xml:space="preserve"> и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>
              <w:rPr>
                <w:b w:val="0"/>
                <w:bCs w:val="0"/>
                <w:sz w:val="28"/>
                <w:szCs w:val="28"/>
              </w:rPr>
              <w:t xml:space="preserve"> (массой до 3,5 тонны)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рублей/час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67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3.3.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категории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r>
              <w:rPr>
                <w:b w:val="0"/>
                <w:bCs w:val="0"/>
                <w:sz w:val="28"/>
                <w:szCs w:val="28"/>
              </w:rPr>
              <w:t xml:space="preserve"> (массой более 3,5 тонны),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BE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37E3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DE</w:t>
            </w:r>
            <w:r>
              <w:rPr>
                <w:b w:val="0"/>
                <w:bCs w:val="0"/>
                <w:sz w:val="28"/>
                <w:szCs w:val="28"/>
              </w:rPr>
              <w:t xml:space="preserve"> 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CE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рублей/час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134</w:t>
            </w:r>
          </w:p>
        </w:tc>
      </w:tr>
      <w:tr w:rsidR="009F68DF">
        <w:trPr>
          <w:trHeight w:val="322"/>
        </w:trPr>
        <w:tc>
          <w:tcPr>
            <w:tcW w:w="675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3.4.</w:t>
            </w:r>
          </w:p>
        </w:tc>
        <w:tc>
          <w:tcPr>
            <w:tcW w:w="4502" w:type="dxa"/>
            <w:vMerge w:val="restart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крупногабаритное транспортное средство</w:t>
            </w:r>
          </w:p>
        </w:tc>
        <w:tc>
          <w:tcPr>
            <w:tcW w:w="1701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рублей/час</w:t>
            </w:r>
          </w:p>
        </w:tc>
        <w:tc>
          <w:tcPr>
            <w:tcW w:w="2126" w:type="dxa"/>
            <w:vMerge w:val="restart"/>
            <w:vAlign w:val="center"/>
          </w:tcPr>
          <w:p w:rsidR="009F68DF" w:rsidRDefault="00245ABB">
            <w:pPr>
              <w:pStyle w:val="2a"/>
              <w:shd w:val="clear" w:color="auto" w:fill="auto"/>
              <w:tabs>
                <w:tab w:val="left" w:pos="405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</w:t>
            </w:r>
          </w:p>
        </w:tc>
      </w:tr>
    </w:tbl>
    <w:p w:rsidR="009F68DF" w:rsidRDefault="00245ABB">
      <w:pPr>
        <w:pStyle w:val="33"/>
        <w:shd w:val="clear" w:color="auto" w:fill="auto"/>
        <w:spacing w:before="0" w:after="0" w:line="240" w:lineRule="auto"/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Базовый уровень тарифов на перемещение задержанных в соответствии со статьей 27.13 Кодекса Российской Федерации об административных правонарушениях (далее – КоАП РФ) транспортных средств на специализированную стоянку и их хранение на ней в Ханты-Мансийском автономном округе – Югре </w:t>
      </w:r>
    </w:p>
    <w:p w:rsidR="009F68DF" w:rsidRDefault="00245ABB">
      <w:pPr>
        <w:pStyle w:val="2a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В базовом уровне тарифов учтены налоги в соответствии </w:t>
      </w:r>
      <w:r>
        <w:rPr>
          <w:b w:val="0"/>
          <w:bCs w:val="0"/>
          <w:sz w:val="28"/>
          <w:szCs w:val="28"/>
        </w:rPr>
        <w:br/>
        <w:t>с законодательством Российской Федерации.</w:t>
      </w:r>
    </w:p>
    <w:p w:rsidR="009F68DF" w:rsidRDefault="00245ABB">
      <w:pPr>
        <w:pStyle w:val="2a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Базовый уровень тарифа на хранение задержанного прицепа </w:t>
      </w:r>
      <w:r>
        <w:rPr>
          <w:b w:val="0"/>
          <w:bCs w:val="0"/>
          <w:sz w:val="28"/>
          <w:szCs w:val="28"/>
        </w:rPr>
        <w:br/>
        <w:t>в отсутствие механического транспортного средства соответствует уровню тарифа на хранение соответствующего механического транспортного средства, для движения в составе с которым предназначен задержанный прицеп.</w:t>
      </w:r>
    </w:p>
    <w:p w:rsidR="009F68DF" w:rsidRDefault="00245ABB">
      <w:pPr>
        <w:pStyle w:val="2a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случае задержания механического транспортного средства (автомобиля-тягача) и прицепа к нему в соответствии со статьей 27.13 КоАП РФ независимо от количества протоколов задержания транспортных средств, составленных указанными в части 3 статьи 27.13 КоАП РФ должностными лицами, плата взимается по тарифу, установленному для категорий </w:t>
      </w:r>
      <w:r>
        <w:rPr>
          <w:b w:val="0"/>
          <w:bCs w:val="0"/>
          <w:sz w:val="28"/>
          <w:szCs w:val="28"/>
          <w:lang w:val="en-US"/>
        </w:rPr>
        <w:t>BE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  <w:lang w:val="en-US"/>
        </w:rPr>
        <w:t>CE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  <w:lang w:val="en-US"/>
        </w:rPr>
        <w:t>DE</w:t>
      </w:r>
      <w:r>
        <w:rPr>
          <w:b w:val="0"/>
          <w:bCs w:val="0"/>
          <w:sz w:val="28"/>
          <w:szCs w:val="28"/>
        </w:rPr>
        <w:t>, крупногабаритных транспортных средств.</w:t>
      </w:r>
    </w:p>
    <w:p w:rsidR="009F68DF" w:rsidRDefault="009F68DF">
      <w:pPr>
        <w:rPr>
          <w:szCs w:val="28"/>
        </w:rPr>
      </w:pPr>
    </w:p>
    <w:sectPr w:rsidR="009F68DF">
      <w:pgSz w:w="11906" w:h="16840"/>
      <w:pgMar w:top="141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50" w:rsidRDefault="00591C50">
      <w:pPr>
        <w:spacing w:after="0" w:line="240" w:lineRule="auto"/>
      </w:pPr>
      <w:r>
        <w:separator/>
      </w:r>
    </w:p>
  </w:endnote>
  <w:endnote w:type="continuationSeparator" w:id="0">
    <w:p w:rsidR="00591C50" w:rsidRDefault="0059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9F68DF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9F68DF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9F68D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50" w:rsidRDefault="00591C50">
      <w:pPr>
        <w:spacing w:after="0" w:line="240" w:lineRule="auto"/>
      </w:pPr>
      <w:r>
        <w:separator/>
      </w:r>
    </w:p>
  </w:footnote>
  <w:footnote w:type="continuationSeparator" w:id="0">
    <w:p w:rsidR="00591C50" w:rsidRDefault="0059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9F68DF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245ABB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AC5175">
      <w:rPr>
        <w:noProof/>
      </w:rPr>
      <w:t>7</w:t>
    </w:r>
    <w:r>
      <w:fldChar w:fldCharType="end"/>
    </w:r>
  </w:p>
  <w:p w:rsidR="009F68DF" w:rsidRDefault="009F68DF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DF" w:rsidRDefault="009F68D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236"/>
    <w:multiLevelType w:val="hybridMultilevel"/>
    <w:tmpl w:val="C0AE8894"/>
    <w:lvl w:ilvl="0" w:tplc="F4D2A6FE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19"/>
        <w:u w:val="none"/>
        <w:lang w:val="ru-RU"/>
      </w:rPr>
    </w:lvl>
    <w:lvl w:ilvl="1" w:tplc="E452D166">
      <w:start w:val="1"/>
      <w:numFmt w:val="decimal"/>
      <w:lvlText w:val=""/>
      <w:lvlJc w:val="left"/>
    </w:lvl>
    <w:lvl w:ilvl="2" w:tplc="D9CE55D6">
      <w:start w:val="1"/>
      <w:numFmt w:val="decimal"/>
      <w:lvlText w:val=""/>
      <w:lvlJc w:val="left"/>
    </w:lvl>
    <w:lvl w:ilvl="3" w:tplc="4308E0CA">
      <w:start w:val="1"/>
      <w:numFmt w:val="decimal"/>
      <w:lvlText w:val=""/>
      <w:lvlJc w:val="left"/>
    </w:lvl>
    <w:lvl w:ilvl="4" w:tplc="5564376C">
      <w:start w:val="1"/>
      <w:numFmt w:val="decimal"/>
      <w:lvlText w:val=""/>
      <w:lvlJc w:val="left"/>
    </w:lvl>
    <w:lvl w:ilvl="5" w:tplc="7CEA9136">
      <w:start w:val="1"/>
      <w:numFmt w:val="decimal"/>
      <w:lvlText w:val=""/>
      <w:lvlJc w:val="left"/>
    </w:lvl>
    <w:lvl w:ilvl="6" w:tplc="2C949D94">
      <w:start w:val="1"/>
      <w:numFmt w:val="decimal"/>
      <w:lvlText w:val=""/>
      <w:lvlJc w:val="left"/>
    </w:lvl>
    <w:lvl w:ilvl="7" w:tplc="AA0AF272">
      <w:start w:val="1"/>
      <w:numFmt w:val="decimal"/>
      <w:lvlText w:val=""/>
      <w:lvlJc w:val="left"/>
    </w:lvl>
    <w:lvl w:ilvl="8" w:tplc="C9E257DC">
      <w:start w:val="1"/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F"/>
    <w:rsid w:val="000247D3"/>
    <w:rsid w:val="00037E32"/>
    <w:rsid w:val="00245ABB"/>
    <w:rsid w:val="00591C50"/>
    <w:rsid w:val="009F68DF"/>
    <w:rsid w:val="00A45AE2"/>
    <w:rsid w:val="00A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89DCB-4F31-463F-AD50-7FA1E50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текст (2)_"/>
    <w:basedOn w:val="a0"/>
    <w:link w:val="25"/>
    <w:rPr>
      <w:rFonts w:eastAsia="Times New Roman" w:cs="Times New Roman"/>
      <w:spacing w:val="5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780" w:line="302" w:lineRule="exact"/>
      <w:jc w:val="right"/>
    </w:pPr>
    <w:rPr>
      <w:rFonts w:eastAsia="Times New Roman" w:cs="Times New Roman"/>
      <w:spacing w:val="5"/>
      <w:sz w:val="23"/>
      <w:szCs w:val="23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spacing w:val="6"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3"/>
    <w:rPr>
      <w:rFonts w:eastAsia="Times New Roman" w:cs="Times New Roman"/>
      <w:spacing w:val="7"/>
      <w:sz w:val="19"/>
      <w:szCs w:val="19"/>
      <w:shd w:val="clear" w:color="auto" w:fill="FFFFFF"/>
    </w:rPr>
  </w:style>
  <w:style w:type="character" w:customStyle="1" w:styleId="26">
    <w:name w:val="Оглавление 2 Знак"/>
    <w:basedOn w:val="a0"/>
    <w:link w:val="2"/>
    <w:rPr>
      <w:rFonts w:eastAsia="Times New Roman" w:cs="Times New Roman"/>
      <w:spacing w:val="7"/>
      <w:szCs w:val="28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60" w:line="0" w:lineRule="atLeast"/>
      <w:outlineLvl w:val="0"/>
    </w:pPr>
    <w:rPr>
      <w:rFonts w:eastAsia="Times New Roman" w:cs="Times New Roman"/>
      <w:spacing w:val="6"/>
      <w:sz w:val="23"/>
      <w:szCs w:val="23"/>
    </w:rPr>
  </w:style>
  <w:style w:type="paragraph" w:customStyle="1" w:styleId="33">
    <w:name w:val="Основной текст3"/>
    <w:basedOn w:val="a"/>
    <w:link w:val="af2"/>
    <w:pPr>
      <w:widowControl w:val="0"/>
      <w:shd w:val="clear" w:color="auto" w:fill="FFFFFF"/>
      <w:spacing w:before="60" w:after="60" w:line="274" w:lineRule="exact"/>
    </w:pPr>
    <w:rPr>
      <w:rFonts w:eastAsia="Times New Roman" w:cs="Times New Roman"/>
      <w:spacing w:val="7"/>
      <w:sz w:val="19"/>
      <w:szCs w:val="19"/>
    </w:rPr>
  </w:style>
  <w:style w:type="paragraph" w:styleId="2">
    <w:name w:val="toc 2"/>
    <w:basedOn w:val="a"/>
    <w:link w:val="26"/>
    <w:pPr>
      <w:widowControl w:val="0"/>
      <w:numPr>
        <w:numId w:val="1"/>
      </w:numPr>
      <w:tabs>
        <w:tab w:val="left" w:pos="578"/>
        <w:tab w:val="right" w:leader="dot" w:pos="9356"/>
      </w:tabs>
      <w:spacing w:after="0" w:line="240" w:lineRule="auto"/>
      <w:ind w:left="160" w:right="-2"/>
      <w:jc w:val="both"/>
    </w:pPr>
    <w:rPr>
      <w:rFonts w:eastAsia="Times New Roman" w:cs="Times New Roman"/>
      <w:spacing w:val="7"/>
      <w:szCs w:val="28"/>
    </w:rPr>
  </w:style>
  <w:style w:type="character" w:styleId="af3">
    <w:name w:val="Hyperlink"/>
    <w:basedOn w:val="a0"/>
    <w:rPr>
      <w:color w:val="0066CC"/>
      <w:u w:val="single"/>
    </w:rPr>
  </w:style>
  <w:style w:type="character" w:customStyle="1" w:styleId="34">
    <w:name w:val="Основной текст (3)_"/>
    <w:basedOn w:val="a0"/>
    <w:link w:val="35"/>
    <w:rPr>
      <w:rFonts w:eastAsia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pPr>
      <w:widowControl w:val="0"/>
      <w:shd w:val="clear" w:color="auto" w:fill="FFFFFF"/>
      <w:spacing w:after="240" w:line="259" w:lineRule="exact"/>
      <w:jc w:val="center"/>
    </w:pPr>
    <w:rPr>
      <w:rFonts w:eastAsia="Times New Roman" w:cs="Times New Roman"/>
      <w:b/>
      <w:bCs/>
      <w:spacing w:val="5"/>
      <w:sz w:val="19"/>
      <w:szCs w:val="19"/>
    </w:rPr>
  </w:style>
  <w:style w:type="character" w:customStyle="1" w:styleId="27">
    <w:name w:val="Заголовок №2_"/>
    <w:basedOn w:val="a0"/>
    <w:link w:val="28"/>
    <w:rPr>
      <w:rFonts w:eastAsia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240" w:after="0" w:line="259" w:lineRule="exact"/>
      <w:jc w:val="center"/>
      <w:outlineLvl w:val="1"/>
    </w:pPr>
    <w:rPr>
      <w:rFonts w:eastAsia="Times New Roman" w:cs="Times New Roman"/>
      <w:b/>
      <w:bCs/>
      <w:spacing w:val="5"/>
      <w:sz w:val="19"/>
      <w:szCs w:val="19"/>
    </w:rPr>
  </w:style>
  <w:style w:type="character" w:customStyle="1" w:styleId="15">
    <w:name w:val="Основной текст1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29">
    <w:name w:val="Подпись к таблице (2)_"/>
    <w:basedOn w:val="a0"/>
    <w:link w:val="2a"/>
    <w:rPr>
      <w:rFonts w:eastAsia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5"/>
      <w:sz w:val="19"/>
      <w:szCs w:val="19"/>
    </w:rPr>
  </w:style>
  <w:style w:type="character" w:customStyle="1" w:styleId="0pt">
    <w:name w:val="Основной текст + Полужирный;Интервал 0 pt"/>
    <w:basedOn w:val="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b">
    <w:name w:val="Основной текст2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3">
    <w:name w:val="Основной текст (4)_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44">
    <w:name w:val="Основной текст (4)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position w:val="0"/>
      <w:sz w:val="16"/>
      <w:szCs w:val="16"/>
      <w:u w:val="single"/>
      <w:lang w:val="ru-RU"/>
    </w:rPr>
  </w:style>
  <w:style w:type="character" w:customStyle="1" w:styleId="53">
    <w:name w:val="Основной текст (5)_"/>
    <w:basedOn w:val="a0"/>
    <w:link w:val="54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after="0" w:line="278" w:lineRule="exact"/>
    </w:pPr>
    <w:rPr>
      <w:rFonts w:ascii="Georgia" w:eastAsia="Georgia" w:hAnsi="Georgia" w:cs="Georgia"/>
      <w:sz w:val="20"/>
      <w:szCs w:val="20"/>
    </w:rPr>
  </w:style>
  <w:style w:type="character" w:customStyle="1" w:styleId="72">
    <w:name w:val="Основной текст (7)_"/>
    <w:basedOn w:val="a0"/>
    <w:link w:val="73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7Batang95pt">
    <w:name w:val="Основной текст (7) + Batang;9;5 pt"/>
    <w:basedOn w:val="72"/>
    <w:rPr>
      <w:rFonts w:ascii="Batang" w:eastAsia="Batang" w:hAnsi="Batang" w:cs="Batang"/>
      <w:color w:val="000000"/>
      <w:spacing w:val="0"/>
      <w:position w:val="0"/>
      <w:sz w:val="19"/>
      <w:szCs w:val="19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Georgia" w:eastAsia="Georgia" w:hAnsi="Georgia" w:cs="Georgia"/>
      <w:spacing w:val="-11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entury Gothic" w:eastAsia="Century Gothic" w:hAnsi="Century Gothic" w:cs="Century Gothic"/>
      <w:b/>
      <w:bCs/>
      <w:spacing w:val="-4"/>
      <w:szCs w:val="28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rFonts w:ascii="Century Gothic" w:eastAsia="Century Gothic" w:hAnsi="Century Gothic" w:cs="Century Gothic"/>
      <w:b/>
      <w:bCs/>
      <w:spacing w:val="4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after="0" w:line="274" w:lineRule="exact"/>
    </w:pPr>
    <w:rPr>
      <w:rFonts w:ascii="Georgia" w:eastAsia="Georgia" w:hAnsi="Georgia" w:cs="Georgia"/>
      <w:sz w:val="20"/>
      <w:szCs w:val="20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120"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before="120" w:after="120" w:line="0" w:lineRule="atLeast"/>
    </w:pPr>
    <w:rPr>
      <w:rFonts w:ascii="Georgia" w:eastAsia="Georgia" w:hAnsi="Georgia" w:cs="Georgia"/>
      <w:spacing w:val="-11"/>
      <w:sz w:val="20"/>
      <w:szCs w:val="20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-4"/>
      <w:szCs w:val="2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4"/>
      <w:sz w:val="15"/>
      <w:szCs w:val="15"/>
    </w:rPr>
  </w:style>
  <w:style w:type="character" w:customStyle="1" w:styleId="120">
    <w:name w:val="Основной текст (12)_"/>
    <w:basedOn w:val="a0"/>
    <w:link w:val="121"/>
    <w:rPr>
      <w:rFonts w:eastAsia="Times New Roman" w:cs="Times New Roman"/>
      <w:spacing w:val="4"/>
      <w:sz w:val="16"/>
      <w:szCs w:val="16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before="60" w:after="0" w:line="259" w:lineRule="exact"/>
      <w:jc w:val="center"/>
    </w:pPr>
    <w:rPr>
      <w:rFonts w:eastAsia="Times New Roman" w:cs="Times New Roman"/>
      <w:spacing w:val="4"/>
      <w:sz w:val="16"/>
      <w:szCs w:val="16"/>
    </w:rPr>
  </w:style>
  <w:style w:type="character" w:customStyle="1" w:styleId="1295pt0pt">
    <w:name w:val="Основной текст (12) + 9;5 pt;Интервал 0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4">
    <w:name w:val="Подпись к таблице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0pt1">
    <w:name w:val="Подпись к таблице + Полужирный;Курсив;Интервал 0 pt"/>
    <w:basedOn w:val="a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position w:val="0"/>
      <w:sz w:val="19"/>
      <w:szCs w:val="19"/>
      <w:u w:val="none"/>
      <w:lang w:val="ru-RU"/>
    </w:rPr>
  </w:style>
  <w:style w:type="character" w:customStyle="1" w:styleId="af5">
    <w:name w:val="Подпись к таблице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19"/>
      <w:szCs w:val="19"/>
      <w:u w:val="single"/>
      <w:lang w:val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uiPriority w:val="1"/>
    <w:qFormat/>
    <w:pPr>
      <w:widowControl w:val="0"/>
      <w:spacing w:after="0" w:line="240" w:lineRule="auto"/>
      <w:ind w:left="118"/>
      <w:jc w:val="both"/>
    </w:pPr>
    <w:rPr>
      <w:rFonts w:eastAsia="Times New Roman" w:cs="Times New Roman"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1"/>
    <w:rPr>
      <w:rFonts w:eastAsia="Times New Roman" w:cs="Times New Roman"/>
      <w:sz w:val="24"/>
      <w:szCs w:val="24"/>
      <w:lang w:val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Абзац списка Знак"/>
    <w:link w:val="af6"/>
    <w:uiPriority w:val="34"/>
  </w:style>
  <w:style w:type="paragraph" w:styleId="aff1">
    <w:name w:val="No Spacing"/>
    <w:link w:val="aff2"/>
    <w:uiPriority w:val="1"/>
    <w:qFormat/>
    <w:pPr>
      <w:spacing w:after="0" w:line="240" w:lineRule="auto"/>
      <w:ind w:firstLine="709"/>
    </w:pPr>
    <w:rPr>
      <w:rFonts w:eastAsia="Times New Roman" w:cs="Times New Roman"/>
    </w:rPr>
  </w:style>
  <w:style w:type="character" w:customStyle="1" w:styleId="aff2">
    <w:name w:val="Без интервала Знак"/>
    <w:link w:val="aff1"/>
    <w:uiPriority w:val="1"/>
    <w:rPr>
      <w:rFonts w:eastAsia="Times New Roman" w:cs="Times New Roman"/>
    </w:rPr>
  </w:style>
  <w:style w:type="paragraph" w:styleId="aff3">
    <w:name w:val="Plain Text"/>
    <w:basedOn w:val="a"/>
    <w:link w:val="af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eastAsia="Times New Roman" w:hAnsi="Courier New" w:cs="Times New Roman"/>
      <w:sz w:val="20"/>
      <w:szCs w:val="20"/>
    </w:rPr>
  </w:style>
  <w:style w:type="paragraph" w:styleId="2c">
    <w:name w:val="Body Text 2"/>
    <w:basedOn w:val="a"/>
    <w:link w:val="2d"/>
    <w:uiPriority w:val="99"/>
    <w:semiHidden/>
    <w:unhideWhenUsed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semiHidden/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6">
    <w:name w:val="Знак примечания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prb.admhmao.ru/auktsiony/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f7ebdb6-8d40-4385-a571-fa00d515ad83">&lt;div&gt;Документация об аукционе по выбору исполнителя услуг по перемещению и (или) хранению задержанных транспортных средств и установления тарифов на перемещение &lt;/div&gt;</Desc>
    <DocDate xmlns="df7ebdb6-8d40-4385-a571-fa00d515ad83">2022-12-28T21:00:00+00:00</DocDate>
    <docType xmlns="df7ebdb6-8d40-4385-a571-fa00d515ad83">54</docType>
    <SecondLevel xmlns="df7ebdb6-8d40-4385-a571-fa00d515ad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C697337576DD4CA9A816DBD166D3AB" ma:contentTypeVersion="5" ma:contentTypeDescription="Создание документа." ma:contentTypeScope="" ma:versionID="916638248038bc7d982b8d25d5cb31c4">
  <xsd:schema xmlns:xsd="http://www.w3.org/2001/XMLSchema" xmlns:xs="http://www.w3.org/2001/XMLSchema" xmlns:p="http://schemas.microsoft.com/office/2006/metadata/properties" xmlns:ns2="df7ebdb6-8d40-4385-a571-fa00d515ad83" targetNamespace="http://schemas.microsoft.com/office/2006/metadata/properties" ma:root="true" ma:fieldsID="1b67c8460683103089a81bc65906f35b" ns2:_="">
    <xsd:import namespace="df7ebdb6-8d40-4385-a571-fa00d515ad83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  <xsd:element ref="ns2:Secon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ebdb6-8d40-4385-a571-fa00d515ad83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D562AC09-F357-44AE-A9FD-368F700EADA3}" ma:internalName="docType" ma:showField="Title">
      <xsd:simpleType>
        <xsd:restriction base="dms:Lookup"/>
      </xsd:simpleType>
    </xsd:element>
    <xsd:element name="SecondLevel" ma:index="11" nillable="true" ma:displayName="Второй уровень" ma:list="{d562ac09-f357-44ae-a9fd-368f700eada3}" ma:internalName="Secon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A5B2F-23B4-48E1-8969-1DA9C87C7773}">
  <ds:schemaRefs>
    <ds:schemaRef ds:uri="http://schemas.microsoft.com/office/2006/metadata/properties"/>
    <ds:schemaRef ds:uri="http://schemas.microsoft.com/office/infopath/2007/PartnerControls"/>
    <ds:schemaRef ds:uri="df7ebdb6-8d40-4385-a571-fa00d515ad83"/>
  </ds:schemaRefs>
</ds:datastoreItem>
</file>

<file path=customXml/itemProps2.xml><?xml version="1.0" encoding="utf-8"?>
<ds:datastoreItem xmlns:ds="http://schemas.openxmlformats.org/officeDocument/2006/customXml" ds:itemID="{6E5B2171-27EF-40F5-8A5B-E8C6EFE94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ebdb6-8d40-4385-a571-fa00d515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D329-E08C-428B-83A7-8E9060D73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52698-96EE-496B-8FAF-92917A9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zazulina</dc:creator>
  <cp:lastModifiedBy>Igrim</cp:lastModifiedBy>
  <cp:revision>2</cp:revision>
  <cp:lastPrinted>2024-02-08T04:06:00Z</cp:lastPrinted>
  <dcterms:created xsi:type="dcterms:W3CDTF">2024-02-08T04:10:00Z</dcterms:created>
  <dcterms:modified xsi:type="dcterms:W3CDTF">2024-02-08T04:10:00Z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0x010100BDC697337576DD4CA9A816DBD166D3AB</vt:lpwstr>
  </property>
</Properties>
</file>